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43275" w14:textId="3547D299" w:rsidR="00537BEE" w:rsidRPr="0095420F" w:rsidRDefault="00537BEE" w:rsidP="00537BEE">
      <w:pPr>
        <w:pStyle w:val="a3"/>
        <w:tabs>
          <w:tab w:val="left" w:pos="851"/>
        </w:tabs>
        <w:spacing w:before="0" w:beforeAutospacing="0" w:after="0" w:afterAutospacing="0"/>
        <w:jc w:val="right"/>
        <w:rPr>
          <w:rFonts w:ascii="Times New Roman" w:hAnsi="Times New Roman" w:cs="Times New Roman"/>
          <w:b/>
          <w:bCs/>
          <w:sz w:val="28"/>
          <w:szCs w:val="28"/>
          <w:shd w:val="clear" w:color="auto" w:fill="FFFFFF"/>
          <w:lang w:val="uk-UA"/>
        </w:rPr>
      </w:pPr>
      <w:r w:rsidRPr="0095420F">
        <w:rPr>
          <w:rFonts w:ascii="Times New Roman" w:hAnsi="Times New Roman" w:cs="Times New Roman"/>
          <w:b/>
          <w:bCs/>
          <w:sz w:val="28"/>
          <w:szCs w:val="28"/>
          <w:shd w:val="clear" w:color="auto" w:fill="FFFFFF"/>
          <w:lang w:val="uk-UA"/>
        </w:rPr>
        <w:t>Ольга СОБОЛЕВСЬКА</w:t>
      </w:r>
      <w:r w:rsidRPr="00586C6D">
        <w:rPr>
          <w:rFonts w:ascii="Times New Roman" w:hAnsi="Times New Roman" w:cs="Times New Roman"/>
          <w:bCs/>
          <w:sz w:val="28"/>
          <w:szCs w:val="28"/>
          <w:shd w:val="clear" w:color="auto" w:fill="FFFFFF"/>
          <w:lang w:val="uk-UA"/>
        </w:rPr>
        <w:t>,</w:t>
      </w:r>
    </w:p>
    <w:p w14:paraId="0C59919D" w14:textId="77777777" w:rsidR="00713DC7" w:rsidRPr="00713DC7" w:rsidRDefault="00713DC7" w:rsidP="00713DC7">
      <w:pPr>
        <w:pStyle w:val="a3"/>
        <w:tabs>
          <w:tab w:val="left" w:pos="851"/>
        </w:tabs>
        <w:spacing w:before="0" w:beforeAutospacing="0" w:after="0" w:afterAutospacing="0"/>
        <w:jc w:val="right"/>
        <w:rPr>
          <w:rFonts w:ascii="Times New Roman" w:hAnsi="Times New Roman" w:cs="Times New Roman"/>
          <w:sz w:val="28"/>
          <w:szCs w:val="28"/>
          <w:shd w:val="clear" w:color="auto" w:fill="FFFFFF"/>
          <w:lang w:val="uk-UA"/>
        </w:rPr>
      </w:pPr>
      <w:r w:rsidRPr="00713DC7">
        <w:rPr>
          <w:rFonts w:ascii="Times New Roman" w:hAnsi="Times New Roman" w:cs="Times New Roman"/>
          <w:sz w:val="28"/>
          <w:szCs w:val="28"/>
          <w:shd w:val="clear" w:color="auto" w:fill="FFFFFF"/>
          <w:lang w:val="uk-UA"/>
        </w:rPr>
        <w:t>здобувачка вищої освіти ступеня доктора філософії</w:t>
      </w:r>
    </w:p>
    <w:p w14:paraId="1F3CACA6" w14:textId="2E528E66" w:rsidR="00537BEE" w:rsidRPr="0095420F" w:rsidRDefault="00537BEE" w:rsidP="00537BEE">
      <w:pPr>
        <w:pStyle w:val="a3"/>
        <w:tabs>
          <w:tab w:val="left" w:pos="851"/>
        </w:tabs>
        <w:spacing w:before="0" w:beforeAutospacing="0" w:after="0" w:afterAutospacing="0"/>
        <w:jc w:val="right"/>
        <w:rPr>
          <w:rFonts w:ascii="Times New Roman" w:hAnsi="Times New Roman" w:cs="Times New Roman"/>
          <w:sz w:val="28"/>
          <w:szCs w:val="28"/>
          <w:shd w:val="clear" w:color="auto" w:fill="FFFFFF"/>
          <w:lang w:val="uk-UA"/>
        </w:rPr>
      </w:pPr>
      <w:r w:rsidRPr="0095420F">
        <w:rPr>
          <w:rFonts w:ascii="Times New Roman" w:hAnsi="Times New Roman" w:cs="Times New Roman"/>
          <w:sz w:val="28"/>
          <w:szCs w:val="28"/>
          <w:lang w:val="uk-UA"/>
        </w:rPr>
        <w:t xml:space="preserve">спеціальності </w:t>
      </w:r>
      <w:r w:rsidRPr="002529E6">
        <w:rPr>
          <w:rFonts w:ascii="Times New Roman" w:hAnsi="Times New Roman" w:cs="Times New Roman"/>
          <w:sz w:val="28"/>
          <w:szCs w:val="28"/>
          <w:lang w:val="uk-UA"/>
        </w:rPr>
        <w:t>«</w:t>
      </w:r>
      <w:r w:rsidRPr="0095420F">
        <w:rPr>
          <w:rFonts w:ascii="Times New Roman" w:hAnsi="Times New Roman" w:cs="Times New Roman"/>
          <w:sz w:val="28"/>
          <w:szCs w:val="28"/>
          <w:lang w:val="uk-UA"/>
        </w:rPr>
        <w:t>Підприємництво</w:t>
      </w:r>
      <w:r w:rsidR="002529E6">
        <w:rPr>
          <w:rFonts w:ascii="Times New Roman" w:hAnsi="Times New Roman" w:cs="Times New Roman"/>
          <w:sz w:val="28"/>
          <w:szCs w:val="28"/>
          <w:lang w:val="uk-UA"/>
        </w:rPr>
        <w:t xml:space="preserve">, </w:t>
      </w:r>
      <w:r w:rsidRPr="0095420F">
        <w:rPr>
          <w:rFonts w:ascii="Times New Roman" w:hAnsi="Times New Roman" w:cs="Times New Roman"/>
          <w:sz w:val="28"/>
          <w:szCs w:val="28"/>
          <w:lang w:val="uk-UA"/>
        </w:rPr>
        <w:t>торгівля</w:t>
      </w:r>
      <w:r w:rsidR="002529E6">
        <w:rPr>
          <w:rFonts w:ascii="Times New Roman" w:hAnsi="Times New Roman" w:cs="Times New Roman"/>
          <w:sz w:val="28"/>
          <w:szCs w:val="28"/>
          <w:lang w:val="uk-UA"/>
        </w:rPr>
        <w:t xml:space="preserve"> та біржова діяльність</w:t>
      </w:r>
      <w:r w:rsidRPr="002529E6">
        <w:rPr>
          <w:rFonts w:ascii="Times New Roman" w:hAnsi="Times New Roman" w:cs="Times New Roman"/>
          <w:sz w:val="28"/>
          <w:szCs w:val="28"/>
          <w:lang w:val="uk-UA"/>
        </w:rPr>
        <w:t>»</w:t>
      </w:r>
    </w:p>
    <w:p w14:paraId="75B8316C" w14:textId="05E60615" w:rsidR="00537BEE" w:rsidRPr="0095420F" w:rsidRDefault="00FF2DCF" w:rsidP="00537BEE">
      <w:pPr>
        <w:tabs>
          <w:tab w:val="left" w:pos="1035"/>
        </w:tabs>
        <w:jc w:val="right"/>
        <w:rPr>
          <w:rFonts w:ascii="Times New Roman" w:eastAsia="Symbol" w:hAnsi="Times New Roman" w:cs="Times New Roman"/>
          <w:sz w:val="28"/>
          <w:szCs w:val="28"/>
        </w:rPr>
      </w:pPr>
      <w:r w:rsidRPr="00FF2DCF">
        <w:rPr>
          <w:rFonts w:ascii="Times New Roman" w:eastAsia="Symbol" w:hAnsi="Times New Roman" w:cs="Times New Roman"/>
          <w:sz w:val="28"/>
          <w:szCs w:val="28"/>
        </w:rPr>
        <w:t>Науковий керівник:</w:t>
      </w:r>
      <w:r w:rsidRPr="00FF2DCF">
        <w:rPr>
          <w:rFonts w:ascii="Times New Roman" w:eastAsia="Symbol" w:hAnsi="Times New Roman" w:cs="Times New Roman"/>
          <w:b/>
          <w:bCs/>
          <w:sz w:val="28"/>
          <w:szCs w:val="28"/>
        </w:rPr>
        <w:t xml:space="preserve"> </w:t>
      </w:r>
      <w:r w:rsidR="00537BEE" w:rsidRPr="0095420F">
        <w:rPr>
          <w:rFonts w:ascii="Times New Roman" w:eastAsia="Symbol" w:hAnsi="Times New Roman" w:cs="Times New Roman"/>
          <w:b/>
          <w:bCs/>
          <w:sz w:val="28"/>
          <w:szCs w:val="28"/>
        </w:rPr>
        <w:t>Тетяна ЯВОРСЬКА</w:t>
      </w:r>
      <w:r w:rsidR="00537BEE" w:rsidRPr="0095420F">
        <w:rPr>
          <w:rFonts w:ascii="Times New Roman" w:eastAsia="Symbol" w:hAnsi="Times New Roman" w:cs="Times New Roman"/>
          <w:sz w:val="28"/>
          <w:szCs w:val="28"/>
        </w:rPr>
        <w:t>,</w:t>
      </w:r>
    </w:p>
    <w:p w14:paraId="364CEEC3" w14:textId="7FC1DF22" w:rsidR="00537BEE" w:rsidRPr="0095420F" w:rsidRDefault="00537BEE" w:rsidP="00537BEE">
      <w:pPr>
        <w:tabs>
          <w:tab w:val="left" w:pos="1035"/>
        </w:tabs>
        <w:jc w:val="right"/>
        <w:rPr>
          <w:rFonts w:ascii="Times New Roman" w:eastAsia="Symbol" w:hAnsi="Times New Roman" w:cs="Times New Roman"/>
          <w:sz w:val="28"/>
          <w:szCs w:val="28"/>
        </w:rPr>
      </w:pPr>
      <w:r w:rsidRPr="0095420F">
        <w:rPr>
          <w:rFonts w:ascii="Times New Roman" w:eastAsia="Symbol" w:hAnsi="Times New Roman" w:cs="Times New Roman"/>
          <w:sz w:val="28"/>
          <w:szCs w:val="28"/>
        </w:rPr>
        <w:t xml:space="preserve">д-р </w:t>
      </w:r>
      <w:proofErr w:type="spellStart"/>
      <w:r w:rsidRPr="0095420F">
        <w:rPr>
          <w:rFonts w:ascii="Times New Roman" w:eastAsia="Symbol" w:hAnsi="Times New Roman" w:cs="Times New Roman"/>
          <w:sz w:val="28"/>
          <w:szCs w:val="28"/>
        </w:rPr>
        <w:t>екон</w:t>
      </w:r>
      <w:proofErr w:type="spellEnd"/>
      <w:r w:rsidRPr="0095420F">
        <w:rPr>
          <w:rFonts w:ascii="Times New Roman" w:eastAsia="Symbol" w:hAnsi="Times New Roman" w:cs="Times New Roman"/>
          <w:sz w:val="28"/>
          <w:szCs w:val="28"/>
        </w:rPr>
        <w:t>. н., професор кафедри економіки і бізнесу</w:t>
      </w:r>
    </w:p>
    <w:p w14:paraId="27EF270C" w14:textId="7336BBB6" w:rsidR="00537BEE" w:rsidRPr="0095420F" w:rsidRDefault="00537BEE" w:rsidP="00537BEE">
      <w:pPr>
        <w:tabs>
          <w:tab w:val="left" w:pos="1035"/>
        </w:tabs>
        <w:jc w:val="right"/>
        <w:rPr>
          <w:rFonts w:ascii="Times New Roman" w:eastAsia="Symbol" w:hAnsi="Times New Roman" w:cs="Times New Roman"/>
          <w:sz w:val="28"/>
          <w:szCs w:val="28"/>
        </w:rPr>
      </w:pPr>
      <w:r w:rsidRPr="0095420F">
        <w:rPr>
          <w:rFonts w:ascii="Times New Roman" w:eastAsia="Symbol" w:hAnsi="Times New Roman" w:cs="Times New Roman"/>
          <w:sz w:val="28"/>
          <w:szCs w:val="28"/>
        </w:rPr>
        <w:t>Таврійсь</w:t>
      </w:r>
      <w:r w:rsidR="00713DC7">
        <w:rPr>
          <w:rFonts w:ascii="Times New Roman" w:eastAsia="Symbol" w:hAnsi="Times New Roman" w:cs="Times New Roman"/>
          <w:sz w:val="28"/>
          <w:szCs w:val="28"/>
        </w:rPr>
        <w:t>кий державний агротехнологічний</w:t>
      </w:r>
    </w:p>
    <w:p w14:paraId="270B904A" w14:textId="2062DB8F" w:rsidR="00537BEE" w:rsidRPr="0095420F" w:rsidRDefault="00537BEE" w:rsidP="00537BEE">
      <w:pPr>
        <w:tabs>
          <w:tab w:val="left" w:pos="1035"/>
        </w:tabs>
        <w:jc w:val="right"/>
        <w:rPr>
          <w:rFonts w:ascii="Times New Roman" w:eastAsia="Symbol" w:hAnsi="Times New Roman" w:cs="Times New Roman"/>
          <w:sz w:val="28"/>
          <w:szCs w:val="28"/>
        </w:rPr>
      </w:pPr>
      <w:r w:rsidRPr="0095420F">
        <w:rPr>
          <w:rFonts w:ascii="Times New Roman" w:eastAsia="Symbol" w:hAnsi="Times New Roman" w:cs="Times New Roman"/>
          <w:sz w:val="28"/>
          <w:szCs w:val="28"/>
        </w:rPr>
        <w:t>університет імені Дмитра Моторного</w:t>
      </w:r>
    </w:p>
    <w:p w14:paraId="39074392" w14:textId="44B32126" w:rsidR="00537BEE" w:rsidRPr="00BE5017" w:rsidRDefault="00537BEE" w:rsidP="00537BEE">
      <w:pPr>
        <w:tabs>
          <w:tab w:val="left" w:pos="1035"/>
        </w:tabs>
        <w:jc w:val="right"/>
        <w:rPr>
          <w:rFonts w:ascii="Times New Roman" w:eastAsia="Symbol" w:hAnsi="Times New Roman" w:cs="Times New Roman"/>
        </w:rPr>
      </w:pPr>
      <w:r w:rsidRPr="0095420F">
        <w:rPr>
          <w:rFonts w:ascii="Times New Roman" w:eastAsia="Symbol" w:hAnsi="Times New Roman" w:cs="Times New Roman"/>
          <w:sz w:val="28"/>
          <w:szCs w:val="28"/>
        </w:rPr>
        <w:t>м. Запоріжжя</w:t>
      </w:r>
    </w:p>
    <w:p w14:paraId="3D40D71E" w14:textId="77777777" w:rsidR="00537BEE" w:rsidRPr="00713DC7" w:rsidRDefault="00537BEE" w:rsidP="00713DC7">
      <w:pPr>
        <w:autoSpaceDE w:val="0"/>
        <w:autoSpaceDN w:val="0"/>
        <w:adjustRightInd w:val="0"/>
        <w:spacing w:line="336" w:lineRule="auto"/>
        <w:jc w:val="center"/>
        <w:rPr>
          <w:rFonts w:ascii="Times New Roman" w:hAnsi="Times New Roman" w:cs="Times New Roman"/>
          <w:bCs/>
          <w:sz w:val="28"/>
          <w:szCs w:val="28"/>
        </w:rPr>
      </w:pPr>
    </w:p>
    <w:p w14:paraId="0FEB6AB5" w14:textId="013B8853" w:rsidR="00B2152A" w:rsidRDefault="00B2152A" w:rsidP="00B2152A">
      <w:pPr>
        <w:autoSpaceDE w:val="0"/>
        <w:autoSpaceDN w:val="0"/>
        <w:adjustRightInd w:val="0"/>
        <w:spacing w:line="336" w:lineRule="auto"/>
        <w:ind w:firstLine="709"/>
        <w:jc w:val="center"/>
        <w:rPr>
          <w:rFonts w:ascii="Times New Roman" w:hAnsi="Times New Roman" w:cs="Times New Roman"/>
          <w:b/>
          <w:bCs/>
          <w:sz w:val="28"/>
          <w:szCs w:val="28"/>
        </w:rPr>
      </w:pPr>
      <w:r w:rsidRPr="00B2152A">
        <w:rPr>
          <w:rFonts w:ascii="Times New Roman" w:hAnsi="Times New Roman" w:cs="Times New Roman"/>
          <w:b/>
          <w:bCs/>
          <w:sz w:val="28"/>
          <w:szCs w:val="28"/>
        </w:rPr>
        <w:t>Ф</w:t>
      </w:r>
      <w:r w:rsidR="003B60AF">
        <w:rPr>
          <w:rFonts w:ascii="Times New Roman" w:hAnsi="Times New Roman" w:cs="Times New Roman"/>
          <w:b/>
          <w:bCs/>
          <w:sz w:val="28"/>
          <w:szCs w:val="28"/>
        </w:rPr>
        <w:t>АКТОРИ ВПЛИВУ НА Ф</w:t>
      </w:r>
      <w:r w:rsidR="00537BEE">
        <w:rPr>
          <w:rFonts w:ascii="Times New Roman" w:hAnsi="Times New Roman" w:cs="Times New Roman"/>
          <w:b/>
          <w:bCs/>
          <w:sz w:val="28"/>
          <w:szCs w:val="28"/>
        </w:rPr>
        <w:t xml:space="preserve">ОРМУВАННЯ ДОХОДІВ МИСЛИВСЬКИХ ГОСПОДАРСТВ </w:t>
      </w:r>
    </w:p>
    <w:p w14:paraId="1D60F613" w14:textId="77777777" w:rsidR="00B2152A" w:rsidRPr="00713DC7" w:rsidRDefault="00B2152A" w:rsidP="00713DC7">
      <w:pPr>
        <w:autoSpaceDE w:val="0"/>
        <w:autoSpaceDN w:val="0"/>
        <w:adjustRightInd w:val="0"/>
        <w:spacing w:line="336" w:lineRule="auto"/>
        <w:jc w:val="center"/>
        <w:rPr>
          <w:rFonts w:ascii="Times New Roman" w:hAnsi="Times New Roman" w:cs="Times New Roman"/>
          <w:bCs/>
          <w:sz w:val="28"/>
          <w:szCs w:val="28"/>
        </w:rPr>
      </w:pPr>
    </w:p>
    <w:p w14:paraId="3FFC0166" w14:textId="29762096" w:rsidR="00B2152A" w:rsidRPr="00B2152A" w:rsidRDefault="00FF2DCF" w:rsidP="0095420F">
      <w:pPr>
        <w:autoSpaceDE w:val="0"/>
        <w:autoSpaceDN w:val="0"/>
        <w:adjustRightInd w:val="0"/>
        <w:spacing w:line="360" w:lineRule="auto"/>
        <w:ind w:firstLine="567"/>
        <w:jc w:val="both"/>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Д</w:t>
      </w:r>
      <w:r w:rsidR="00B2152A" w:rsidRPr="00B2152A">
        <w:rPr>
          <w:rFonts w:ascii="Times New Roman" w:eastAsia="TimesNewRomanPSMT" w:hAnsi="Times New Roman" w:cs="Times New Roman"/>
          <w:spacing w:val="-3"/>
          <w:sz w:val="28"/>
          <w:szCs w:val="28"/>
        </w:rPr>
        <w:t xml:space="preserve">охід </w:t>
      </w:r>
      <w:r w:rsidR="00B2152A" w:rsidRPr="00B2152A">
        <w:rPr>
          <w:rFonts w:ascii="Times New Roman" w:eastAsia="Times New Roman" w:hAnsi="Times New Roman" w:cs="Times New Roman"/>
          <w:spacing w:val="-3"/>
          <w:sz w:val="28"/>
          <w:szCs w:val="28"/>
        </w:rPr>
        <w:t>мисливських господарств</w:t>
      </w:r>
      <w:r w:rsidR="00B2152A" w:rsidRPr="00B2152A">
        <w:rPr>
          <w:rFonts w:ascii="Times New Roman" w:eastAsia="TimesNewRomanPSMT" w:hAnsi="Times New Roman" w:cs="Times New Roman"/>
          <w:spacing w:val="-3"/>
          <w:sz w:val="28"/>
          <w:szCs w:val="28"/>
        </w:rPr>
        <w:t xml:space="preserve"> доцільно розглядати не лише як джерело економічного піднесення, а і як джерело простого і розширеного відновлення ресурсів на </w:t>
      </w:r>
      <w:proofErr w:type="spellStart"/>
      <w:r w:rsidR="00B2152A" w:rsidRPr="00B2152A">
        <w:rPr>
          <w:rFonts w:ascii="Times New Roman" w:eastAsia="TimesNewRomanPSMT" w:hAnsi="Times New Roman" w:cs="Times New Roman"/>
          <w:spacing w:val="-3"/>
          <w:sz w:val="28"/>
          <w:szCs w:val="28"/>
        </w:rPr>
        <w:t>біорізноманіття</w:t>
      </w:r>
      <w:proofErr w:type="spellEnd"/>
      <w:r w:rsidR="00B2152A" w:rsidRPr="00B2152A">
        <w:rPr>
          <w:rFonts w:ascii="Times New Roman" w:eastAsia="TimesNewRomanPSMT" w:hAnsi="Times New Roman" w:cs="Times New Roman"/>
          <w:spacing w:val="-3"/>
          <w:sz w:val="28"/>
          <w:szCs w:val="28"/>
        </w:rPr>
        <w:t xml:space="preserve"> мисливських угідь, а також створення фонду накопичення з метою беззбиткового розвитку. Це зумовлює формування їх власних можливостей для здійсн</w:t>
      </w:r>
      <w:r>
        <w:rPr>
          <w:rFonts w:ascii="Times New Roman" w:eastAsia="TimesNewRomanPSMT" w:hAnsi="Times New Roman" w:cs="Times New Roman"/>
          <w:spacing w:val="-3"/>
          <w:sz w:val="28"/>
          <w:szCs w:val="28"/>
        </w:rPr>
        <w:t>ення</w:t>
      </w:r>
      <w:r w:rsidR="00B2152A" w:rsidRPr="00B2152A">
        <w:rPr>
          <w:rFonts w:ascii="Times New Roman" w:eastAsia="TimesNewRomanPSMT" w:hAnsi="Times New Roman" w:cs="Times New Roman"/>
          <w:spacing w:val="-3"/>
          <w:sz w:val="28"/>
          <w:szCs w:val="28"/>
        </w:rPr>
        <w:t xml:space="preserve"> господарськ</w:t>
      </w:r>
      <w:r>
        <w:rPr>
          <w:rFonts w:ascii="Times New Roman" w:eastAsia="TimesNewRomanPSMT" w:hAnsi="Times New Roman" w:cs="Times New Roman"/>
          <w:spacing w:val="-3"/>
          <w:sz w:val="28"/>
          <w:szCs w:val="28"/>
        </w:rPr>
        <w:t>ої</w:t>
      </w:r>
      <w:r w:rsidR="00B2152A" w:rsidRPr="00B2152A">
        <w:rPr>
          <w:rFonts w:ascii="Times New Roman" w:eastAsia="TimesNewRomanPSMT" w:hAnsi="Times New Roman" w:cs="Times New Roman"/>
          <w:spacing w:val="-3"/>
          <w:sz w:val="28"/>
          <w:szCs w:val="28"/>
        </w:rPr>
        <w:t xml:space="preserve"> діяльн</w:t>
      </w:r>
      <w:r>
        <w:rPr>
          <w:rFonts w:ascii="Times New Roman" w:eastAsia="TimesNewRomanPSMT" w:hAnsi="Times New Roman" w:cs="Times New Roman"/>
          <w:spacing w:val="-3"/>
          <w:sz w:val="28"/>
          <w:szCs w:val="28"/>
        </w:rPr>
        <w:t>ості</w:t>
      </w:r>
      <w:r w:rsidR="00B2152A" w:rsidRPr="00B2152A">
        <w:rPr>
          <w:rFonts w:ascii="Times New Roman" w:eastAsia="TimesNewRomanPSMT" w:hAnsi="Times New Roman" w:cs="Times New Roman"/>
          <w:spacing w:val="-3"/>
          <w:sz w:val="28"/>
          <w:szCs w:val="28"/>
        </w:rPr>
        <w:t xml:space="preserve"> у теперішньому та майбутньому періоді. Крім того, </w:t>
      </w:r>
      <w:r w:rsidR="00B2152A" w:rsidRPr="00B2152A">
        <w:rPr>
          <w:rFonts w:ascii="Times New Roman" w:eastAsia="TimesNewRomanPSMT" w:hAnsi="Times New Roman" w:cs="Times New Roman"/>
          <w:sz w:val="28"/>
          <w:szCs w:val="28"/>
        </w:rPr>
        <w:t xml:space="preserve">розмір отриманого доходу </w:t>
      </w:r>
      <w:r w:rsidR="00B2152A" w:rsidRPr="00B2152A">
        <w:rPr>
          <w:rFonts w:ascii="Times New Roman" w:eastAsia="Times New Roman" w:hAnsi="Times New Roman" w:cs="Times New Roman"/>
          <w:sz w:val="28"/>
          <w:szCs w:val="28"/>
        </w:rPr>
        <w:t>мисливських господарств</w:t>
      </w:r>
      <w:r w:rsidR="00B2152A" w:rsidRPr="00B2152A">
        <w:rPr>
          <w:rFonts w:ascii="Times New Roman" w:eastAsia="TimesNewRomanPSMT" w:hAnsi="Times New Roman" w:cs="Times New Roman"/>
          <w:sz w:val="28"/>
          <w:szCs w:val="28"/>
        </w:rPr>
        <w:t xml:space="preserve"> як індикатор поточної стабільності у певному сегменті ринку</w:t>
      </w:r>
      <w:r w:rsidR="00621CF2">
        <w:rPr>
          <w:rFonts w:ascii="Times New Roman" w:eastAsia="TimesNewRomanPSMT" w:hAnsi="Times New Roman" w:cs="Times New Roman"/>
          <w:sz w:val="28"/>
          <w:szCs w:val="28"/>
        </w:rPr>
        <w:t>,</w:t>
      </w:r>
      <w:r w:rsidR="00B2152A" w:rsidRPr="00B2152A">
        <w:rPr>
          <w:rFonts w:ascii="Times New Roman" w:eastAsia="TimesNewRomanPSMT" w:hAnsi="Times New Roman" w:cs="Times New Roman"/>
          <w:sz w:val="28"/>
          <w:szCs w:val="28"/>
        </w:rPr>
        <w:t xml:space="preserve"> для потенційних партнерів є відносним показником окупності витрат</w:t>
      </w:r>
      <w:r w:rsidR="00B2152A" w:rsidRPr="00B2152A">
        <w:rPr>
          <w:rFonts w:ascii="Times New Roman" w:eastAsia="TimesNewRomanPSMT" w:hAnsi="Times New Roman" w:cs="Times New Roman"/>
          <w:spacing w:val="-3"/>
          <w:sz w:val="28"/>
          <w:szCs w:val="28"/>
        </w:rPr>
        <w:t>.</w:t>
      </w:r>
    </w:p>
    <w:p w14:paraId="41CE7EFF" w14:textId="2CB4870B" w:rsidR="00B2152A" w:rsidRPr="00B2152A" w:rsidRDefault="00B2152A" w:rsidP="0095420F">
      <w:pPr>
        <w:autoSpaceDE w:val="0"/>
        <w:autoSpaceDN w:val="0"/>
        <w:adjustRightInd w:val="0"/>
        <w:spacing w:line="360" w:lineRule="auto"/>
        <w:ind w:firstLine="567"/>
        <w:jc w:val="both"/>
        <w:rPr>
          <w:rFonts w:ascii="Times New Roman" w:eastAsia="TimesNewRomanPSMT" w:hAnsi="Times New Roman" w:cs="Times New Roman"/>
          <w:spacing w:val="-2"/>
          <w:sz w:val="28"/>
          <w:szCs w:val="28"/>
        </w:rPr>
      </w:pPr>
      <w:r w:rsidRPr="00B2152A">
        <w:rPr>
          <w:rFonts w:ascii="Times New Roman" w:eastAsia="TimesNewRomanPSMT" w:hAnsi="Times New Roman" w:cs="Times New Roman"/>
          <w:spacing w:val="-2"/>
          <w:sz w:val="28"/>
          <w:szCs w:val="28"/>
        </w:rPr>
        <w:t>У міжнародній практиці виокремлюють сім основних правил формування доходу, які, на наш погляд, достатньо актуальні для застосування в сучасних конкурентних умовах ринку [</w:t>
      </w:r>
      <w:r w:rsidR="00E00032">
        <w:rPr>
          <w:rFonts w:ascii="Times New Roman" w:eastAsia="TimesNewRomanPSMT" w:hAnsi="Times New Roman" w:cs="Times New Roman"/>
          <w:spacing w:val="-2"/>
          <w:sz w:val="28"/>
          <w:szCs w:val="28"/>
        </w:rPr>
        <w:t>1</w:t>
      </w:r>
      <w:r w:rsidRPr="00B2152A">
        <w:rPr>
          <w:rFonts w:ascii="Times New Roman" w:eastAsia="TimesNewRomanPSMT" w:hAnsi="Times New Roman" w:cs="Times New Roman"/>
          <w:spacing w:val="-2"/>
          <w:sz w:val="28"/>
          <w:szCs w:val="28"/>
        </w:rPr>
        <w:t>;</w:t>
      </w:r>
      <w:r w:rsidR="00E00032">
        <w:rPr>
          <w:rFonts w:ascii="Times New Roman" w:eastAsia="TimesNewRomanPSMT" w:hAnsi="Times New Roman" w:cs="Times New Roman"/>
          <w:spacing w:val="-2"/>
          <w:sz w:val="28"/>
          <w:szCs w:val="28"/>
        </w:rPr>
        <w:t>2</w:t>
      </w:r>
      <w:r w:rsidRPr="00B2152A">
        <w:rPr>
          <w:rFonts w:ascii="Times New Roman" w:eastAsia="TimesNewRomanPSMT" w:hAnsi="Times New Roman" w:cs="Times New Roman"/>
          <w:spacing w:val="-2"/>
          <w:sz w:val="28"/>
          <w:szCs w:val="28"/>
        </w:rPr>
        <w:t>]: при врівноваженні попиту та пропозиції, необхідно зосереджувати увагу не на витратах, а на ціні; при встановленні ціни необхідно враховувати не лише величину понесених витрат, а і потреби ринку – при встановленні ціни на продукцію</w:t>
      </w:r>
      <w:r w:rsidR="003B60AF">
        <w:rPr>
          <w:rFonts w:ascii="Times New Roman" w:eastAsia="TimesNewRomanPSMT" w:hAnsi="Times New Roman" w:cs="Times New Roman"/>
          <w:spacing w:val="-2"/>
          <w:sz w:val="28"/>
          <w:szCs w:val="28"/>
        </w:rPr>
        <w:t xml:space="preserve"> та</w:t>
      </w:r>
      <w:r w:rsidRPr="00B2152A">
        <w:rPr>
          <w:rFonts w:ascii="Times New Roman" w:eastAsia="TimesNewRomanPSMT" w:hAnsi="Times New Roman" w:cs="Times New Roman"/>
          <w:spacing w:val="-2"/>
          <w:sz w:val="28"/>
          <w:szCs w:val="28"/>
        </w:rPr>
        <w:t xml:space="preserve"> роботи </w:t>
      </w:r>
      <w:r w:rsidR="003B60AF">
        <w:rPr>
          <w:rFonts w:ascii="Times New Roman" w:eastAsia="TimesNewRomanPSMT" w:hAnsi="Times New Roman" w:cs="Times New Roman"/>
          <w:spacing w:val="-2"/>
          <w:sz w:val="28"/>
          <w:szCs w:val="28"/>
        </w:rPr>
        <w:t>і</w:t>
      </w:r>
      <w:r w:rsidRPr="00B2152A">
        <w:rPr>
          <w:rFonts w:ascii="Times New Roman" w:eastAsia="TimesNewRomanPSMT" w:hAnsi="Times New Roman" w:cs="Times New Roman"/>
          <w:spacing w:val="-2"/>
          <w:sz w:val="28"/>
          <w:szCs w:val="28"/>
        </w:rPr>
        <w:t xml:space="preserve"> послуги </w:t>
      </w:r>
      <w:r w:rsidRPr="00B2152A">
        <w:rPr>
          <w:rFonts w:ascii="Times New Roman" w:eastAsia="Times New Roman" w:hAnsi="Times New Roman" w:cs="Times New Roman"/>
          <w:spacing w:val="-2"/>
          <w:sz w:val="28"/>
          <w:szCs w:val="28"/>
        </w:rPr>
        <w:t>мисливських господарств</w:t>
      </w:r>
      <w:r w:rsidRPr="00B2152A">
        <w:rPr>
          <w:rFonts w:ascii="Times New Roman" w:eastAsia="TimesNewRomanPSMT" w:hAnsi="Times New Roman" w:cs="Times New Roman"/>
          <w:spacing w:val="-2"/>
          <w:sz w:val="28"/>
          <w:szCs w:val="28"/>
        </w:rPr>
        <w:t xml:space="preserve"> необхідно враховувати кількість споживачів певного ринкового сегменту, які готові платити за неї; здійснювати свої продажі не на всьому ринку, а на окремих його сегментах; зберігати сво</w:t>
      </w:r>
      <w:r w:rsidR="00621CF2">
        <w:rPr>
          <w:rFonts w:ascii="Times New Roman" w:eastAsia="TimesNewRomanPSMT" w:hAnsi="Times New Roman" w:cs="Times New Roman"/>
          <w:spacing w:val="-2"/>
          <w:sz w:val="28"/>
          <w:szCs w:val="28"/>
        </w:rPr>
        <w:t xml:space="preserve">ї </w:t>
      </w:r>
      <w:r w:rsidRPr="00B2152A">
        <w:rPr>
          <w:rFonts w:ascii="Times New Roman" w:eastAsia="TimesNewRomanPSMT" w:hAnsi="Times New Roman" w:cs="Times New Roman"/>
          <w:spacing w:val="-2"/>
          <w:sz w:val="28"/>
          <w:szCs w:val="28"/>
        </w:rPr>
        <w:t xml:space="preserve">продукти та послуги для найбільш цінних клієнтів (цей принцип має сенс лише за умови тривалого функціонування </w:t>
      </w:r>
      <w:r w:rsidRPr="00B2152A">
        <w:rPr>
          <w:rFonts w:ascii="Times New Roman" w:eastAsia="Times New Roman" w:hAnsi="Times New Roman" w:cs="Times New Roman"/>
          <w:spacing w:val="-2"/>
          <w:sz w:val="28"/>
          <w:szCs w:val="28"/>
        </w:rPr>
        <w:t>мисливських господарств</w:t>
      </w:r>
      <w:r w:rsidRPr="00B2152A">
        <w:rPr>
          <w:rFonts w:ascii="Times New Roman" w:eastAsia="TimesNewRomanPSMT" w:hAnsi="Times New Roman" w:cs="Times New Roman"/>
          <w:spacing w:val="-2"/>
          <w:sz w:val="28"/>
          <w:szCs w:val="28"/>
        </w:rPr>
        <w:t xml:space="preserve"> на ринку та наявності незадоволеного попиту); приймаючи рішення, необхідно ґрунтуватися на достовірній інформації, для прогнозування потенційного доходу; визначення споживчого циклу кожного продукту, робіт, </w:t>
      </w:r>
      <w:r w:rsidRPr="00B2152A">
        <w:rPr>
          <w:rFonts w:ascii="Times New Roman" w:eastAsia="TimesNewRomanPSMT" w:hAnsi="Times New Roman" w:cs="Times New Roman"/>
          <w:spacing w:val="-2"/>
          <w:sz w:val="28"/>
          <w:szCs w:val="28"/>
        </w:rPr>
        <w:lastRenderedPageBreak/>
        <w:t xml:space="preserve">послуг та оптимізації строків виходу з ним на різні сегменти ринку та, відповідно, встановлення ціни на нього в цих сегментах; постійний моніторинг власних можливостей для збільшення доходу </w:t>
      </w:r>
      <w:r w:rsidRPr="00B2152A">
        <w:rPr>
          <w:rFonts w:ascii="Times New Roman" w:eastAsia="Times New Roman" w:hAnsi="Times New Roman" w:cs="Times New Roman"/>
          <w:spacing w:val="-2"/>
          <w:sz w:val="28"/>
          <w:szCs w:val="28"/>
        </w:rPr>
        <w:t>мисливських господарств</w:t>
      </w:r>
      <w:r w:rsidRPr="00B2152A">
        <w:rPr>
          <w:rFonts w:ascii="Times New Roman" w:eastAsia="TimesNewRomanPSMT" w:hAnsi="Times New Roman" w:cs="Times New Roman"/>
          <w:spacing w:val="-2"/>
          <w:sz w:val="28"/>
          <w:szCs w:val="28"/>
        </w:rPr>
        <w:t xml:space="preserve"> – найбільший економічний ефект можна отримати внаслідок неочікуваних дій конкурентів в окремих сегментах ринку.</w:t>
      </w:r>
    </w:p>
    <w:p w14:paraId="29EAC76B" w14:textId="558E86DF" w:rsidR="00B2152A" w:rsidRDefault="00B2152A" w:rsidP="0095420F">
      <w:pPr>
        <w:autoSpaceDE w:val="0"/>
        <w:autoSpaceDN w:val="0"/>
        <w:adjustRightInd w:val="0"/>
        <w:spacing w:line="360" w:lineRule="auto"/>
        <w:ind w:firstLine="567"/>
        <w:jc w:val="both"/>
        <w:rPr>
          <w:rFonts w:ascii="Times New Roman" w:eastAsia="TimesNewRomanPSMT" w:hAnsi="Times New Roman" w:cs="Times New Roman"/>
          <w:sz w:val="28"/>
          <w:szCs w:val="28"/>
        </w:rPr>
      </w:pPr>
      <w:r w:rsidRPr="00B2152A">
        <w:rPr>
          <w:rFonts w:ascii="Times New Roman" w:eastAsia="TimesNewRomanPSMT" w:hAnsi="Times New Roman" w:cs="Times New Roman"/>
          <w:sz w:val="28"/>
          <w:szCs w:val="28"/>
        </w:rPr>
        <w:t xml:space="preserve">Викладені принципи повинні бути покладені в основу формування доходів, і, перш за все, необхідно чітко визначати фактори, що здатні впливати на нього. Безумовно, існування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у середовищі екосистеми може позначитися на формуванні їх доходів, зумовлюючи специфіку джерел грошових надходжень та розпорошеність їх у часі. Водночас, </w:t>
      </w:r>
      <w:r w:rsidRPr="00B2152A">
        <w:rPr>
          <w:rFonts w:ascii="Times New Roman" w:eastAsia="Times New Roman" w:hAnsi="Times New Roman" w:cs="Times New Roman"/>
          <w:sz w:val="28"/>
          <w:szCs w:val="28"/>
        </w:rPr>
        <w:t>мисливські господарства</w:t>
      </w:r>
      <w:r w:rsidRPr="00B2152A">
        <w:rPr>
          <w:rFonts w:ascii="Times New Roman" w:eastAsia="TimesNewRomanPSMT" w:hAnsi="Times New Roman" w:cs="Times New Roman"/>
          <w:sz w:val="28"/>
          <w:szCs w:val="28"/>
        </w:rPr>
        <w:t xml:space="preserve">, функціонуючи як складна єдина система, створюють особливі умов для формування доходу – в першу чергу особливостями цінової та маркетингової політики, ресурсних особливостями виробництва. Таким чином, виділяють дві групи чинників, що впливають на формування доходу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 внутрішні та зовнішні.</w:t>
      </w:r>
    </w:p>
    <w:p w14:paraId="3A08D9EF" w14:textId="36A19E23" w:rsidR="003B60AF" w:rsidRPr="00B2152A" w:rsidRDefault="003B60AF" w:rsidP="003B60AF">
      <w:pPr>
        <w:autoSpaceDE w:val="0"/>
        <w:autoSpaceDN w:val="0"/>
        <w:adjustRightInd w:val="0"/>
        <w:spacing w:line="360" w:lineRule="auto"/>
        <w:ind w:firstLine="567"/>
        <w:jc w:val="both"/>
        <w:rPr>
          <w:rFonts w:ascii="Times New Roman" w:eastAsia="TimesNewRomanPSMT" w:hAnsi="Times New Roman" w:cs="Times New Roman"/>
          <w:sz w:val="28"/>
          <w:szCs w:val="28"/>
        </w:rPr>
      </w:pPr>
      <w:r w:rsidRPr="00B2152A">
        <w:rPr>
          <w:rFonts w:ascii="Times New Roman" w:eastAsia="TimesNewRomanPSMT" w:hAnsi="Times New Roman" w:cs="Times New Roman"/>
          <w:sz w:val="28"/>
          <w:szCs w:val="28"/>
        </w:rPr>
        <w:t>На нашу думку, серед чинників зовнішнього середовища екосистеми мисливських господарств особливу увагу необхідно приділити процесам специфіки їх функціонування в загальній структурі галузей лісового та сільськогосподарського виробництва, яка абсолютно не розглядається з позиції стану розвитку та ресурсного забезпечення. Крім того, не виокремлюється в чинниках зовнішнього середовища екосистеми</w:t>
      </w:r>
      <w:r>
        <w:rPr>
          <w:rFonts w:ascii="Times New Roman" w:eastAsia="TimesNewRomanPSMT" w:hAnsi="Times New Roman" w:cs="Times New Roman"/>
          <w:sz w:val="28"/>
          <w:szCs w:val="28"/>
        </w:rPr>
        <w:t>,</w:t>
      </w:r>
      <w:r w:rsidRPr="00B2152A">
        <w:rPr>
          <w:rFonts w:ascii="Times New Roman" w:eastAsia="TimesNewRomanPSMT" w:hAnsi="Times New Roman" w:cs="Times New Roman"/>
          <w:sz w:val="28"/>
          <w:szCs w:val="28"/>
        </w:rPr>
        <w:t xml:space="preserve"> інституційна та законодавча база формування доходів мисливських господарств.</w:t>
      </w:r>
    </w:p>
    <w:p w14:paraId="57D8FA58" w14:textId="24AD818C" w:rsidR="003B60AF" w:rsidRPr="003B60AF" w:rsidRDefault="003B60AF" w:rsidP="003B60AF">
      <w:pPr>
        <w:autoSpaceDE w:val="0"/>
        <w:autoSpaceDN w:val="0"/>
        <w:adjustRightInd w:val="0"/>
        <w:spacing w:line="360" w:lineRule="auto"/>
        <w:ind w:firstLine="567"/>
        <w:jc w:val="both"/>
        <w:rPr>
          <w:rFonts w:ascii="Times New Roman" w:eastAsia="TimesNewRomanPSMT" w:hAnsi="Times New Roman" w:cs="Times New Roman"/>
          <w:spacing w:val="-4"/>
          <w:sz w:val="28"/>
          <w:szCs w:val="28"/>
        </w:rPr>
      </w:pPr>
      <w:r>
        <w:rPr>
          <w:rFonts w:ascii="Times New Roman" w:eastAsia="TimesNewRomanPSMT" w:hAnsi="Times New Roman" w:cs="Times New Roman"/>
          <w:spacing w:val="-4"/>
          <w:sz w:val="28"/>
          <w:szCs w:val="28"/>
        </w:rPr>
        <w:t>Деякі</w:t>
      </w:r>
      <w:r w:rsidRPr="00B2152A">
        <w:rPr>
          <w:rFonts w:ascii="Times New Roman" w:eastAsia="TimesNewRomanPSMT" w:hAnsi="Times New Roman" w:cs="Times New Roman"/>
          <w:spacing w:val="-4"/>
          <w:sz w:val="28"/>
          <w:szCs w:val="28"/>
        </w:rPr>
        <w:t xml:space="preserve"> науковці до чинників внутрішнього середовища та їх впливу на формування доходу мисливських господарств відносять обсяг реалізованої продукції, робіт та послуг, а до зовнішніх – середньо-реалізаційні ціни (в разі, якщо дохід формувався від двох видів продукції, робіт, послуг чи більше, тоді проявляється вплив ще одного </w:t>
      </w:r>
      <w:proofErr w:type="spellStart"/>
      <w:r w:rsidRPr="00B2152A">
        <w:rPr>
          <w:rFonts w:ascii="Times New Roman" w:eastAsia="TimesNewRomanPSMT" w:hAnsi="Times New Roman" w:cs="Times New Roman"/>
          <w:spacing w:val="-4"/>
          <w:sz w:val="28"/>
          <w:szCs w:val="28"/>
        </w:rPr>
        <w:t>фактора</w:t>
      </w:r>
      <w:proofErr w:type="spellEnd"/>
      <w:r w:rsidRPr="00B2152A">
        <w:rPr>
          <w:rFonts w:ascii="Times New Roman" w:eastAsia="TimesNewRomanPSMT" w:hAnsi="Times New Roman" w:cs="Times New Roman"/>
          <w:spacing w:val="-4"/>
          <w:sz w:val="28"/>
          <w:szCs w:val="28"/>
        </w:rPr>
        <w:t xml:space="preserve"> – структури реалізованої продукції) [</w:t>
      </w:r>
      <w:r>
        <w:rPr>
          <w:rFonts w:ascii="Times New Roman" w:eastAsia="TimesNewRomanPSMT" w:hAnsi="Times New Roman" w:cs="Times New Roman"/>
          <w:spacing w:val="-4"/>
          <w:sz w:val="28"/>
          <w:szCs w:val="28"/>
        </w:rPr>
        <w:t>3</w:t>
      </w:r>
      <w:r w:rsidRPr="00B2152A">
        <w:rPr>
          <w:rFonts w:ascii="Times New Roman" w:eastAsia="TimesNewRomanPSMT" w:hAnsi="Times New Roman" w:cs="Times New Roman"/>
          <w:spacing w:val="-4"/>
          <w:sz w:val="28"/>
          <w:szCs w:val="28"/>
        </w:rPr>
        <w:t>, c.</w:t>
      </w:r>
      <w:r w:rsidR="00713DC7">
        <w:rPr>
          <w:rFonts w:ascii="Times New Roman" w:eastAsia="TimesNewRomanPSMT" w:hAnsi="Times New Roman" w:cs="Times New Roman"/>
          <w:spacing w:val="-4"/>
          <w:sz w:val="28"/>
          <w:szCs w:val="28"/>
        </w:rPr>
        <w:t> </w:t>
      </w:r>
      <w:r w:rsidRPr="00B2152A">
        <w:rPr>
          <w:rFonts w:ascii="Times New Roman" w:eastAsia="TimesNewRomanPSMT" w:hAnsi="Times New Roman" w:cs="Times New Roman"/>
          <w:spacing w:val="-4"/>
          <w:sz w:val="28"/>
          <w:szCs w:val="28"/>
        </w:rPr>
        <w:t>7].</w:t>
      </w:r>
    </w:p>
    <w:p w14:paraId="2EF111FD" w14:textId="7F7348A2" w:rsidR="00B2152A" w:rsidRPr="00B2152A" w:rsidRDefault="00B2152A" w:rsidP="0095420F">
      <w:pPr>
        <w:autoSpaceDE w:val="0"/>
        <w:autoSpaceDN w:val="0"/>
        <w:adjustRightInd w:val="0"/>
        <w:spacing w:line="360" w:lineRule="auto"/>
        <w:ind w:firstLine="567"/>
        <w:jc w:val="both"/>
        <w:rPr>
          <w:rFonts w:ascii="Times New Roman" w:eastAsia="TimesNewRomanPSMT" w:hAnsi="Times New Roman" w:cs="Times New Roman"/>
          <w:sz w:val="28"/>
          <w:szCs w:val="28"/>
        </w:rPr>
      </w:pPr>
      <w:r w:rsidRPr="00B2152A">
        <w:rPr>
          <w:rFonts w:ascii="Times New Roman" w:eastAsia="TimesNewRomanPSMT" w:hAnsi="Times New Roman" w:cs="Times New Roman"/>
          <w:sz w:val="28"/>
          <w:szCs w:val="28"/>
        </w:rPr>
        <w:t>У прац</w:t>
      </w:r>
      <w:r w:rsidR="00FF2DCF">
        <w:rPr>
          <w:rFonts w:ascii="Times New Roman" w:eastAsia="TimesNewRomanPSMT" w:hAnsi="Times New Roman" w:cs="Times New Roman"/>
          <w:sz w:val="28"/>
          <w:szCs w:val="28"/>
        </w:rPr>
        <w:t>ях науковців, наприклад Гоголь</w:t>
      </w:r>
      <w:r w:rsidR="00713DC7">
        <w:rPr>
          <w:rFonts w:ascii="Times New Roman" w:eastAsia="TimesNewRomanPSMT" w:hAnsi="Times New Roman" w:cs="Times New Roman"/>
          <w:sz w:val="28"/>
          <w:szCs w:val="28"/>
        </w:rPr>
        <w:t xml:space="preserve"> Т. </w:t>
      </w:r>
      <w:r w:rsidR="00B53E2C">
        <w:rPr>
          <w:rFonts w:ascii="Times New Roman" w:eastAsia="TimesNewRomanPSMT" w:hAnsi="Times New Roman" w:cs="Times New Roman"/>
          <w:sz w:val="28"/>
          <w:szCs w:val="28"/>
        </w:rPr>
        <w:t xml:space="preserve">А., </w:t>
      </w:r>
      <w:r w:rsidRPr="00B2152A">
        <w:rPr>
          <w:rFonts w:ascii="Times New Roman" w:eastAsia="TimesNewRomanPSMT" w:hAnsi="Times New Roman" w:cs="Times New Roman"/>
          <w:sz w:val="28"/>
          <w:szCs w:val="28"/>
        </w:rPr>
        <w:t>достатньо ґрунтовно систематизовано основні чинники впливу</w:t>
      </w:r>
      <w:r w:rsidR="00B53E2C">
        <w:rPr>
          <w:rFonts w:ascii="Times New Roman" w:eastAsia="TimesNewRomanPSMT" w:hAnsi="Times New Roman" w:cs="Times New Roman"/>
          <w:sz w:val="28"/>
          <w:szCs w:val="28"/>
        </w:rPr>
        <w:t>,</w:t>
      </w:r>
      <w:r w:rsidRPr="00B2152A">
        <w:rPr>
          <w:rFonts w:ascii="Times New Roman" w:eastAsia="TimesNewRomanPSMT" w:hAnsi="Times New Roman" w:cs="Times New Roman"/>
          <w:sz w:val="28"/>
          <w:szCs w:val="28"/>
        </w:rPr>
        <w:t xml:space="preserve"> які поділяються на ресурсні та економічні чинники внутрішнього середовища екосистеми</w:t>
      </w:r>
      <w:r w:rsidR="00FF2DCF">
        <w:rPr>
          <w:rFonts w:ascii="Times New Roman" w:eastAsia="TimesNewRomanPSMT" w:hAnsi="Times New Roman" w:cs="Times New Roman"/>
          <w:sz w:val="28"/>
          <w:szCs w:val="28"/>
        </w:rPr>
        <w:t xml:space="preserve">  </w:t>
      </w:r>
      <w:r w:rsidR="00FF2DCF" w:rsidRPr="00B2152A">
        <w:rPr>
          <w:rFonts w:ascii="Times New Roman" w:eastAsia="TimesNewRomanPSMT" w:hAnsi="Times New Roman" w:cs="Times New Roman"/>
          <w:sz w:val="28"/>
          <w:szCs w:val="28"/>
        </w:rPr>
        <w:t>[</w:t>
      </w:r>
      <w:r w:rsidR="003B60AF">
        <w:rPr>
          <w:rFonts w:ascii="Times New Roman" w:eastAsia="TimesNewRomanPSMT" w:hAnsi="Times New Roman" w:cs="Times New Roman"/>
          <w:sz w:val="28"/>
          <w:szCs w:val="28"/>
        </w:rPr>
        <w:t>4</w:t>
      </w:r>
      <w:r w:rsidR="00FF2DCF" w:rsidRPr="00B2152A">
        <w:rPr>
          <w:rFonts w:ascii="Times New Roman" w:eastAsia="TimesNewRomanPSMT" w:hAnsi="Times New Roman" w:cs="Times New Roman"/>
          <w:sz w:val="28"/>
          <w:szCs w:val="28"/>
        </w:rPr>
        <w:t>, с. 9]</w:t>
      </w:r>
      <w:r w:rsidRPr="00B2152A">
        <w:rPr>
          <w:rFonts w:ascii="Times New Roman" w:eastAsia="TimesNewRomanPSMT" w:hAnsi="Times New Roman" w:cs="Times New Roman"/>
          <w:sz w:val="28"/>
          <w:szCs w:val="28"/>
        </w:rPr>
        <w:t xml:space="preserve">. При цьому </w:t>
      </w:r>
      <w:r w:rsidRPr="00B2152A">
        <w:rPr>
          <w:rFonts w:ascii="Times New Roman" w:eastAsia="TimesNewRomanPSMT" w:hAnsi="Times New Roman" w:cs="Times New Roman"/>
          <w:sz w:val="28"/>
          <w:szCs w:val="28"/>
        </w:rPr>
        <w:lastRenderedPageBreak/>
        <w:t xml:space="preserve">поза увагою опинились наступні чинники впливу на формування доходів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вид та специфіка продукції, робіт та послуг; стадія життєвого циклу продукції,  робіт та послуг в цілому – дозволяє використовувати додаткові можливості отримання доходів; імідж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 впливає на відношення потенційних споживачів до продукції, </w:t>
      </w:r>
      <w:r w:rsidR="00621CF2">
        <w:rPr>
          <w:rFonts w:ascii="Times New Roman" w:eastAsia="TimesNewRomanPSMT" w:hAnsi="Times New Roman" w:cs="Times New Roman"/>
          <w:sz w:val="28"/>
          <w:szCs w:val="28"/>
        </w:rPr>
        <w:t>яка</w:t>
      </w:r>
      <w:r w:rsidRPr="00B2152A">
        <w:rPr>
          <w:rFonts w:ascii="Times New Roman" w:eastAsia="TimesNewRomanPSMT" w:hAnsi="Times New Roman" w:cs="Times New Roman"/>
          <w:sz w:val="28"/>
          <w:szCs w:val="28"/>
        </w:rPr>
        <w:t xml:space="preserve"> виробляється суб’єкт</w:t>
      </w:r>
      <w:r w:rsidR="00621CF2">
        <w:rPr>
          <w:rFonts w:ascii="Times New Roman" w:eastAsia="TimesNewRomanPSMT" w:hAnsi="Times New Roman" w:cs="Times New Roman"/>
          <w:sz w:val="28"/>
          <w:szCs w:val="28"/>
        </w:rPr>
        <w:t>ами</w:t>
      </w:r>
      <w:r w:rsidRPr="00B2152A">
        <w:rPr>
          <w:rFonts w:ascii="Times New Roman" w:eastAsia="TimesNewRomanPSMT" w:hAnsi="Times New Roman" w:cs="Times New Roman"/>
          <w:sz w:val="28"/>
          <w:szCs w:val="28"/>
        </w:rPr>
        <w:t xml:space="preserve"> мисливської галузі, із врахуванням рівня довіри до нього; наявність кваліфікованих кадрів для успішного здійснення господарських операцій; зацікавленість персоналу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в його економічних результатах; ефективна взаємодія вищої та нижчої ланки організаційно-економічного механізму функціонування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корпоративні та функціональні напрями діяльності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 xml:space="preserve"> – загальна лінія розвитку підприємства та окремі напрями його діяльності, зокрема, маркетинговий напрям (особливо в частині розподілу та збуту продукції), інноваційний</w:t>
      </w:r>
      <w:r w:rsidR="00621CF2">
        <w:rPr>
          <w:rFonts w:ascii="Times New Roman" w:eastAsia="TimesNewRomanPSMT" w:hAnsi="Times New Roman" w:cs="Times New Roman"/>
          <w:sz w:val="28"/>
          <w:szCs w:val="28"/>
        </w:rPr>
        <w:t>:</w:t>
      </w:r>
      <w:r w:rsidRPr="00B2152A">
        <w:rPr>
          <w:rFonts w:ascii="Times New Roman" w:eastAsia="TimesNewRomanPSMT" w:hAnsi="Times New Roman" w:cs="Times New Roman"/>
          <w:sz w:val="28"/>
          <w:szCs w:val="28"/>
        </w:rPr>
        <w:t xml:space="preserve"> за умови ретельної розробки та успішної реалізації додаткових можливостей формування доходів </w:t>
      </w:r>
      <w:r w:rsidRPr="00B2152A">
        <w:rPr>
          <w:rFonts w:ascii="Times New Roman" w:eastAsia="Times New Roman" w:hAnsi="Times New Roman" w:cs="Times New Roman"/>
          <w:sz w:val="28"/>
          <w:szCs w:val="28"/>
        </w:rPr>
        <w:t>мисливських господарств</w:t>
      </w:r>
      <w:r w:rsidRPr="00B2152A">
        <w:rPr>
          <w:rFonts w:ascii="Times New Roman" w:eastAsia="TimesNewRomanPSMT" w:hAnsi="Times New Roman" w:cs="Times New Roman"/>
          <w:sz w:val="28"/>
          <w:szCs w:val="28"/>
        </w:rPr>
        <w:t>.</w:t>
      </w:r>
    </w:p>
    <w:p w14:paraId="1D4F6535" w14:textId="77777777" w:rsidR="00B2152A" w:rsidRPr="00B2152A" w:rsidRDefault="00B2152A" w:rsidP="0095420F">
      <w:pPr>
        <w:autoSpaceDE w:val="0"/>
        <w:autoSpaceDN w:val="0"/>
        <w:adjustRightInd w:val="0"/>
        <w:spacing w:line="360" w:lineRule="auto"/>
        <w:ind w:firstLine="567"/>
        <w:jc w:val="both"/>
        <w:rPr>
          <w:rFonts w:ascii="Times New Roman" w:eastAsia="TimesNewRomanPSMT" w:hAnsi="Times New Roman" w:cs="Times New Roman"/>
          <w:spacing w:val="-4"/>
          <w:sz w:val="28"/>
          <w:szCs w:val="28"/>
        </w:rPr>
      </w:pPr>
      <w:r w:rsidRPr="00B2152A">
        <w:rPr>
          <w:rFonts w:ascii="Times New Roman" w:eastAsia="TimesNewRomanPSMT" w:hAnsi="Times New Roman" w:cs="Times New Roman"/>
          <w:spacing w:val="-4"/>
          <w:sz w:val="28"/>
          <w:szCs w:val="28"/>
        </w:rPr>
        <w:t>Чинники впливу на формування доходів мисливських господарств доцільно класифікувати за ступенем прямого та опосередкованого впливу. В такому разі до чинників прямого впливу будуть відносити: обсяг реалізації продукції (робіт, послуг), попит на продукцію, політика ціноутворення, види діяльності підприємства. До чинників непрямого (опосередкованого впливу) можна віднести такі, як: конкурентна ситуація на ринку, стадія життєвого циклу суб’єкта господарювання та продукції зокрема, політика просування продукції на ринку, репутація суб’єкта, якість та конкурентоспроможність продукції, рівень потенційного попиту, окупність ресурсів при збуті продукції, робіт та послуг на ринку тощо.</w:t>
      </w:r>
    </w:p>
    <w:p w14:paraId="09EA73A1" w14:textId="04B66FA8" w:rsidR="00B2152A" w:rsidRDefault="00B2152A" w:rsidP="0095420F">
      <w:pPr>
        <w:autoSpaceDE w:val="0"/>
        <w:autoSpaceDN w:val="0"/>
        <w:adjustRightInd w:val="0"/>
        <w:spacing w:line="360" w:lineRule="auto"/>
        <w:ind w:firstLine="567"/>
        <w:jc w:val="both"/>
        <w:rPr>
          <w:rFonts w:ascii="Times New Roman" w:eastAsia="TimesNewRomanPSMT" w:hAnsi="Times New Roman" w:cs="Times New Roman"/>
          <w:spacing w:val="-2"/>
          <w:sz w:val="28"/>
          <w:szCs w:val="28"/>
        </w:rPr>
      </w:pPr>
      <w:r w:rsidRPr="00B2152A">
        <w:rPr>
          <w:rFonts w:ascii="Times New Roman" w:eastAsia="TimesNewRomanPSMT" w:hAnsi="Times New Roman" w:cs="Times New Roman"/>
          <w:spacing w:val="-2"/>
          <w:sz w:val="28"/>
          <w:szCs w:val="28"/>
        </w:rPr>
        <w:t>При формуванні доходів мисливських господарств необхідно звернути особливу увагу на механізми їх грошового накопичення. Так, Н.</w:t>
      </w:r>
      <w:r w:rsidR="00713DC7">
        <w:rPr>
          <w:rFonts w:ascii="Times New Roman" w:eastAsia="TimesNewRomanPSMT" w:hAnsi="Times New Roman" w:cs="Times New Roman"/>
          <w:spacing w:val="-2"/>
          <w:sz w:val="28"/>
          <w:szCs w:val="28"/>
        </w:rPr>
        <w:t> </w:t>
      </w:r>
      <w:r w:rsidRPr="00B2152A">
        <w:rPr>
          <w:rFonts w:ascii="Times New Roman" w:eastAsia="TimesNewRomanPSMT" w:hAnsi="Times New Roman" w:cs="Times New Roman"/>
          <w:spacing w:val="-2"/>
          <w:sz w:val="28"/>
          <w:szCs w:val="28"/>
        </w:rPr>
        <w:t xml:space="preserve">М. </w:t>
      </w:r>
      <w:proofErr w:type="spellStart"/>
      <w:r w:rsidRPr="00B2152A">
        <w:rPr>
          <w:rFonts w:ascii="Times New Roman" w:eastAsia="TimesNewRomanPSMT" w:hAnsi="Times New Roman" w:cs="Times New Roman"/>
          <w:spacing w:val="-2"/>
          <w:sz w:val="28"/>
          <w:szCs w:val="28"/>
        </w:rPr>
        <w:t>Шмиголь</w:t>
      </w:r>
      <w:proofErr w:type="spellEnd"/>
      <w:r w:rsidRPr="00B2152A">
        <w:rPr>
          <w:rFonts w:ascii="Times New Roman" w:eastAsia="TimesNewRomanPSMT" w:hAnsi="Times New Roman" w:cs="Times New Roman"/>
          <w:spacing w:val="-2"/>
          <w:sz w:val="28"/>
          <w:szCs w:val="28"/>
        </w:rPr>
        <w:t xml:space="preserve"> виокремлює прямі та непрямі доходи суб’єкта господарювання. Прямі доходи формуються внаслідок основної діяльності та функціонування суб’єкта господарювання в умовах ринкової економіки; вони розраховуються з </w:t>
      </w:r>
      <w:r w:rsidRPr="00B2152A">
        <w:rPr>
          <w:rFonts w:ascii="Times New Roman" w:eastAsia="TimesNewRomanPSMT" w:hAnsi="Times New Roman" w:cs="Times New Roman"/>
          <w:spacing w:val="-2"/>
          <w:sz w:val="28"/>
          <w:szCs w:val="28"/>
        </w:rPr>
        <w:lastRenderedPageBreak/>
        <w:t>урахуванням середньої ціни на продукцію, що діє на ринку. Тобто, прямий дохід суб’єкт господарювання отримує лише через присутність його на ринку. Водночас, непрямі доходи є індикатором конкурентоздатності суб’єкта господарювання відносно інших підприємств галузі. Ці доходи утворюють додаткові власні можливості, які можуть бути спрямовані на досягнення беззбиткового розвитку чи ліквідацію негативної дії зовнішніх факторів [</w:t>
      </w:r>
      <w:r w:rsidR="00E00032">
        <w:rPr>
          <w:rFonts w:ascii="Times New Roman" w:eastAsia="TimesNewRomanPSMT" w:hAnsi="Times New Roman" w:cs="Times New Roman"/>
          <w:spacing w:val="-2"/>
          <w:sz w:val="28"/>
          <w:szCs w:val="28"/>
        </w:rPr>
        <w:t>5</w:t>
      </w:r>
      <w:r w:rsidRPr="00B2152A">
        <w:rPr>
          <w:rFonts w:ascii="Times New Roman" w:eastAsia="TimesNewRomanPSMT" w:hAnsi="Times New Roman" w:cs="Times New Roman"/>
          <w:spacing w:val="-2"/>
          <w:sz w:val="28"/>
          <w:szCs w:val="28"/>
        </w:rPr>
        <w:t>].</w:t>
      </w:r>
    </w:p>
    <w:p w14:paraId="023BDF1B" w14:textId="1E6B8480" w:rsidR="00B2152A" w:rsidRPr="00E00032" w:rsidRDefault="00537BEE" w:rsidP="00E00032">
      <w:pPr>
        <w:autoSpaceDE w:val="0"/>
        <w:autoSpaceDN w:val="0"/>
        <w:adjustRightInd w:val="0"/>
        <w:spacing w:line="360" w:lineRule="auto"/>
        <w:ind w:firstLine="567"/>
        <w:jc w:val="both"/>
        <w:rPr>
          <w:rFonts w:ascii="Times New Roman" w:eastAsia="TimesNewRomanPSMT" w:hAnsi="Times New Roman" w:cs="Times New Roman"/>
          <w:spacing w:val="-2"/>
          <w:sz w:val="28"/>
          <w:szCs w:val="28"/>
        </w:rPr>
      </w:pPr>
      <w:r>
        <w:rPr>
          <w:rFonts w:ascii="Times New Roman" w:eastAsia="TimesNewRomanPSMT" w:hAnsi="Times New Roman" w:cs="Times New Roman"/>
          <w:spacing w:val="-2"/>
          <w:sz w:val="28"/>
          <w:szCs w:val="28"/>
        </w:rPr>
        <w:t>Ф</w:t>
      </w:r>
      <w:r w:rsidR="00B2152A" w:rsidRPr="00B2152A">
        <w:rPr>
          <w:rFonts w:ascii="Times New Roman" w:eastAsia="TimesNewRomanPSMT" w:hAnsi="Times New Roman" w:cs="Times New Roman"/>
          <w:spacing w:val="-2"/>
          <w:sz w:val="28"/>
          <w:szCs w:val="28"/>
        </w:rPr>
        <w:t xml:space="preserve">ормування доходів мисливських господарств, на нашу думку, можна визначити як комплекс взаємопов’язаних дій, реалізація яких забезпечує отримання суб’єктом господарювання обсягу </w:t>
      </w:r>
      <w:r w:rsidR="00621CF2">
        <w:rPr>
          <w:rFonts w:ascii="Times New Roman" w:eastAsia="TimesNewRomanPSMT" w:hAnsi="Times New Roman" w:cs="Times New Roman"/>
          <w:spacing w:val="-2"/>
          <w:sz w:val="28"/>
          <w:szCs w:val="28"/>
        </w:rPr>
        <w:t>надходжень</w:t>
      </w:r>
      <w:r w:rsidR="00B2152A" w:rsidRPr="00B2152A">
        <w:rPr>
          <w:rFonts w:ascii="Times New Roman" w:eastAsia="TimesNewRomanPSMT" w:hAnsi="Times New Roman" w:cs="Times New Roman"/>
          <w:spacing w:val="-2"/>
          <w:sz w:val="28"/>
          <w:szCs w:val="28"/>
        </w:rPr>
        <w:t>, достатнього для покриття поточних витрат, забезпечення необхідного рівня ліквідності та платоспроможності підприємства, а також формування прибутку для розширення та відновлення розвитку, відшкодування затрат в умовах ризику за певний період часу</w:t>
      </w:r>
      <w:r w:rsidR="003B60AF">
        <w:rPr>
          <w:rFonts w:ascii="Times New Roman" w:eastAsia="TimesNewRomanPSMT" w:hAnsi="Times New Roman" w:cs="Times New Roman"/>
          <w:spacing w:val="-2"/>
          <w:sz w:val="28"/>
          <w:szCs w:val="28"/>
        </w:rPr>
        <w:t xml:space="preserve"> із</w:t>
      </w:r>
      <w:r w:rsidR="00473042">
        <w:rPr>
          <w:rFonts w:ascii="Times New Roman" w:eastAsia="TimesNewRomanPSMT" w:hAnsi="Times New Roman" w:cs="Times New Roman"/>
          <w:spacing w:val="-2"/>
          <w:sz w:val="28"/>
          <w:szCs w:val="28"/>
        </w:rPr>
        <w:t xml:space="preserve"> </w:t>
      </w:r>
      <w:r w:rsidR="003B60AF">
        <w:rPr>
          <w:rFonts w:ascii="Times New Roman" w:eastAsia="TimesNewRomanPSMT" w:hAnsi="Times New Roman" w:cs="Times New Roman"/>
          <w:spacing w:val="-2"/>
          <w:sz w:val="28"/>
          <w:szCs w:val="28"/>
        </w:rPr>
        <w:t>максимальним  врахуванням усіх можливих факторів впливу.</w:t>
      </w:r>
    </w:p>
    <w:p w14:paraId="45F75E98" w14:textId="3DF4D778" w:rsidR="00B2152A" w:rsidRDefault="00B2152A" w:rsidP="00713DC7">
      <w:pPr>
        <w:autoSpaceDE w:val="0"/>
        <w:autoSpaceDN w:val="0"/>
        <w:adjustRightInd w:val="0"/>
        <w:spacing w:line="336" w:lineRule="auto"/>
        <w:jc w:val="center"/>
        <w:rPr>
          <w:rFonts w:ascii="Times New Roman" w:hAnsi="Times New Roman" w:cs="Times New Roman"/>
          <w:sz w:val="28"/>
          <w:szCs w:val="28"/>
        </w:rPr>
      </w:pPr>
    </w:p>
    <w:p w14:paraId="593CAEA9" w14:textId="1A1AFE06" w:rsidR="00537BEE" w:rsidRDefault="00537BEE" w:rsidP="00713DC7">
      <w:pPr>
        <w:shd w:val="clear" w:color="auto" w:fill="FFFFFF"/>
        <w:spacing w:line="360" w:lineRule="auto"/>
        <w:jc w:val="center"/>
        <w:rPr>
          <w:rFonts w:ascii="Times New Roman" w:hAnsi="Times New Roman" w:cs="Times New Roman"/>
          <w:b/>
          <w:sz w:val="28"/>
          <w:szCs w:val="28"/>
        </w:rPr>
      </w:pPr>
      <w:r w:rsidRPr="002179EC">
        <w:rPr>
          <w:rFonts w:ascii="Times New Roman" w:hAnsi="Times New Roman" w:cs="Times New Roman"/>
          <w:b/>
          <w:sz w:val="28"/>
          <w:szCs w:val="28"/>
        </w:rPr>
        <w:t>Список використаних джерел</w:t>
      </w:r>
    </w:p>
    <w:p w14:paraId="317E63A9" w14:textId="77777777" w:rsidR="00E00032" w:rsidRDefault="00E00032" w:rsidP="00713DC7">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F2DCF" w:rsidRPr="00FF2DCF">
        <w:rPr>
          <w:rFonts w:ascii="Times New Roman" w:eastAsia="Times New Roman" w:hAnsi="Times New Roman" w:cs="Times New Roman"/>
          <w:sz w:val="28"/>
          <w:szCs w:val="28"/>
        </w:rPr>
        <w:t xml:space="preserve">. Міжнародні стандарти фінансової звітності. URL: </w:t>
      </w:r>
      <w:hyperlink r:id="rId4" w:history="1">
        <w:r w:rsidR="00FF2DCF" w:rsidRPr="00FF2DCF">
          <w:rPr>
            <w:rFonts w:ascii="Times New Roman" w:eastAsia="Times New Roman" w:hAnsi="Times New Roman" w:cs="Times New Roman"/>
            <w:color w:val="0000FF"/>
            <w:sz w:val="28"/>
            <w:szCs w:val="28"/>
            <w:u w:val="single"/>
          </w:rPr>
          <w:t>http://www.minfin.gov.ua/control/uk/publish/archive/main?cat_id=24094</w:t>
        </w:r>
      </w:hyperlink>
      <w:r>
        <w:rPr>
          <w:rFonts w:ascii="Times New Roman" w:eastAsia="Times New Roman" w:hAnsi="Times New Roman" w:cs="Times New Roman"/>
          <w:sz w:val="28"/>
          <w:szCs w:val="28"/>
        </w:rPr>
        <w:t>.</w:t>
      </w:r>
    </w:p>
    <w:p w14:paraId="7BE580F9" w14:textId="051F2A0C" w:rsidR="00E00032" w:rsidRDefault="00E00032" w:rsidP="00713DC7">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F2DCF" w:rsidRPr="00FF2DCF">
        <w:rPr>
          <w:rFonts w:ascii="Times New Roman" w:eastAsia="TimesNewRomanPSMT" w:hAnsi="Times New Roman" w:cs="Times New Roman"/>
          <w:sz w:val="28"/>
          <w:szCs w:val="28"/>
        </w:rPr>
        <w:t xml:space="preserve">Роденко Д. Ідеологія управління доходами. URL: </w:t>
      </w:r>
      <w:hyperlink r:id="rId5" w:history="1">
        <w:r w:rsidR="00B53E2C" w:rsidRPr="00FF2DCF">
          <w:rPr>
            <w:rStyle w:val="a5"/>
            <w:rFonts w:ascii="Times New Roman" w:eastAsia="TimesNewRomanPSMT" w:hAnsi="Times New Roman" w:cs="Times New Roman"/>
            <w:sz w:val="28"/>
            <w:szCs w:val="28"/>
          </w:rPr>
          <w:t>http://www.marketing-ua.com/articles.php?articleId=348</w:t>
        </w:r>
      </w:hyperlink>
      <w:r>
        <w:rPr>
          <w:rFonts w:ascii="Times New Roman" w:eastAsia="TimesNewRomanPSMT" w:hAnsi="Times New Roman" w:cs="Times New Roman"/>
          <w:sz w:val="28"/>
          <w:szCs w:val="28"/>
        </w:rPr>
        <w:t>.</w:t>
      </w:r>
    </w:p>
    <w:p w14:paraId="668A9ED2" w14:textId="77777777" w:rsidR="003B60AF" w:rsidRDefault="00E00032" w:rsidP="00713DC7">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B60AF" w:rsidRPr="00B53E2C">
        <w:rPr>
          <w:rFonts w:ascii="Times New Roman" w:eastAsia="TimesNewRomanPSMT" w:hAnsi="Times New Roman" w:cs="Times New Roman"/>
          <w:sz w:val="28"/>
          <w:szCs w:val="28"/>
        </w:rPr>
        <w:t xml:space="preserve">Гаврилюк В.П. Формування та розподіл доходів підприємств із сезонним характером виробництва: обліково-аналітичний аспект: </w:t>
      </w:r>
      <w:proofErr w:type="spellStart"/>
      <w:r w:rsidR="003B60AF" w:rsidRPr="00B53E2C">
        <w:rPr>
          <w:rFonts w:ascii="Times New Roman" w:eastAsia="TimesNewRomanPSMT" w:hAnsi="Times New Roman" w:cs="Times New Roman"/>
          <w:sz w:val="28"/>
          <w:szCs w:val="28"/>
        </w:rPr>
        <w:t>автореф</w:t>
      </w:r>
      <w:proofErr w:type="spellEnd"/>
      <w:r w:rsidR="003B60AF" w:rsidRPr="00B53E2C">
        <w:rPr>
          <w:rFonts w:ascii="Times New Roman" w:eastAsia="TimesNewRomanPSMT" w:hAnsi="Times New Roman" w:cs="Times New Roman"/>
          <w:sz w:val="28"/>
          <w:szCs w:val="28"/>
        </w:rPr>
        <w:t xml:space="preserve">. </w:t>
      </w:r>
      <w:proofErr w:type="spellStart"/>
      <w:r w:rsidR="003B60AF" w:rsidRPr="00B53E2C">
        <w:rPr>
          <w:rFonts w:ascii="Times New Roman" w:eastAsia="TimesNewRomanPSMT" w:hAnsi="Times New Roman" w:cs="Times New Roman"/>
          <w:sz w:val="28"/>
          <w:szCs w:val="28"/>
        </w:rPr>
        <w:t>дис</w:t>
      </w:r>
      <w:proofErr w:type="spellEnd"/>
      <w:r w:rsidR="003B60AF" w:rsidRPr="00B53E2C">
        <w:rPr>
          <w:rFonts w:ascii="Times New Roman" w:eastAsia="TimesNewRomanPSMT" w:hAnsi="Times New Roman" w:cs="Times New Roman"/>
          <w:sz w:val="28"/>
          <w:szCs w:val="28"/>
        </w:rPr>
        <w:t xml:space="preserve">. на </w:t>
      </w:r>
      <w:proofErr w:type="spellStart"/>
      <w:r w:rsidR="003B60AF" w:rsidRPr="00B53E2C">
        <w:rPr>
          <w:rFonts w:ascii="Times New Roman" w:eastAsia="TimesNewRomanPSMT" w:hAnsi="Times New Roman" w:cs="Times New Roman"/>
          <w:sz w:val="28"/>
          <w:szCs w:val="28"/>
        </w:rPr>
        <w:t>здо</w:t>
      </w:r>
      <w:proofErr w:type="spellEnd"/>
      <w:r w:rsidR="003B60AF" w:rsidRPr="00B53E2C">
        <w:rPr>
          <w:rFonts w:ascii="Times New Roman" w:eastAsia="TimesNewRomanPSMT" w:hAnsi="Times New Roman" w:cs="Times New Roman"/>
          <w:sz w:val="28"/>
          <w:szCs w:val="28"/>
        </w:rPr>
        <w:t xml:space="preserve">-буття наук. ступеня </w:t>
      </w:r>
      <w:proofErr w:type="spellStart"/>
      <w:r w:rsidR="003B60AF" w:rsidRPr="00B53E2C">
        <w:rPr>
          <w:rFonts w:ascii="Times New Roman" w:eastAsia="TimesNewRomanPSMT" w:hAnsi="Times New Roman" w:cs="Times New Roman"/>
          <w:sz w:val="28"/>
          <w:szCs w:val="28"/>
        </w:rPr>
        <w:t>канд</w:t>
      </w:r>
      <w:proofErr w:type="spellEnd"/>
      <w:r w:rsidR="003B60AF" w:rsidRPr="00B53E2C">
        <w:rPr>
          <w:rFonts w:ascii="Times New Roman" w:eastAsia="TimesNewRomanPSMT" w:hAnsi="Times New Roman" w:cs="Times New Roman"/>
          <w:sz w:val="28"/>
          <w:szCs w:val="28"/>
        </w:rPr>
        <w:t xml:space="preserve">. </w:t>
      </w:r>
      <w:proofErr w:type="spellStart"/>
      <w:r w:rsidR="003B60AF" w:rsidRPr="00B53E2C">
        <w:rPr>
          <w:rFonts w:ascii="Times New Roman" w:eastAsia="TimesNewRomanPSMT" w:hAnsi="Times New Roman" w:cs="Times New Roman"/>
          <w:sz w:val="28"/>
          <w:szCs w:val="28"/>
        </w:rPr>
        <w:t>екон</w:t>
      </w:r>
      <w:proofErr w:type="spellEnd"/>
      <w:r w:rsidR="003B60AF" w:rsidRPr="00B53E2C">
        <w:rPr>
          <w:rFonts w:ascii="Times New Roman" w:eastAsia="TimesNewRomanPSMT" w:hAnsi="Times New Roman" w:cs="Times New Roman"/>
          <w:sz w:val="28"/>
          <w:szCs w:val="28"/>
        </w:rPr>
        <w:t>. наук: спец. 08.00.09 «Бухгалтерський облік, аналіз та аудит (за видами економічної діяльності)». Київ, 2009. 26 с.</w:t>
      </w:r>
    </w:p>
    <w:p w14:paraId="5079F648" w14:textId="79A6DD08" w:rsidR="00E00032" w:rsidRDefault="003B60AF" w:rsidP="00713DC7">
      <w:pPr>
        <w:spacing w:line="360" w:lineRule="auto"/>
        <w:ind w:firstLine="567"/>
        <w:jc w:val="both"/>
        <w:rPr>
          <w:rFonts w:ascii="Times New Roman" w:eastAsia="Times New Roman" w:hAnsi="Times New Roman" w:cs="Times New Roman"/>
          <w:sz w:val="28"/>
          <w:szCs w:val="28"/>
        </w:rPr>
      </w:pPr>
      <w:r>
        <w:rPr>
          <w:rFonts w:ascii="Times New Roman" w:eastAsia="TimesNewRomanPSMT" w:hAnsi="Times New Roman" w:cs="Times New Roman"/>
          <w:sz w:val="28"/>
          <w:szCs w:val="28"/>
        </w:rPr>
        <w:t xml:space="preserve">4. </w:t>
      </w:r>
      <w:r w:rsidR="00B53E2C" w:rsidRPr="00B53E2C">
        <w:rPr>
          <w:rFonts w:ascii="Times New Roman" w:eastAsia="TimesNewRomanPSMT" w:hAnsi="Times New Roman" w:cs="Times New Roman"/>
          <w:sz w:val="28"/>
          <w:szCs w:val="28"/>
        </w:rPr>
        <w:t>Гоголь Т.</w:t>
      </w:r>
      <w:r w:rsidR="00713DC7">
        <w:rPr>
          <w:rFonts w:ascii="Times New Roman" w:eastAsia="TimesNewRomanPSMT" w:hAnsi="Times New Roman" w:cs="Times New Roman"/>
          <w:sz w:val="28"/>
          <w:szCs w:val="28"/>
        </w:rPr>
        <w:t> </w:t>
      </w:r>
      <w:r w:rsidR="00B53E2C" w:rsidRPr="00B53E2C">
        <w:rPr>
          <w:rFonts w:ascii="Times New Roman" w:eastAsia="TimesNewRomanPSMT" w:hAnsi="Times New Roman" w:cs="Times New Roman"/>
          <w:sz w:val="28"/>
          <w:szCs w:val="28"/>
        </w:rPr>
        <w:t xml:space="preserve">А. Облік та аудит доходів підприємств: </w:t>
      </w:r>
      <w:proofErr w:type="spellStart"/>
      <w:r w:rsidR="00B53E2C" w:rsidRPr="00B53E2C">
        <w:rPr>
          <w:rFonts w:ascii="Times New Roman" w:eastAsia="TimesNewRomanPSMT" w:hAnsi="Times New Roman" w:cs="Times New Roman"/>
          <w:sz w:val="28"/>
          <w:szCs w:val="28"/>
        </w:rPr>
        <w:t>автореф</w:t>
      </w:r>
      <w:proofErr w:type="spellEnd"/>
      <w:r w:rsidR="00B53E2C" w:rsidRPr="00B53E2C">
        <w:rPr>
          <w:rFonts w:ascii="Times New Roman" w:eastAsia="TimesNewRomanPSMT" w:hAnsi="Times New Roman" w:cs="Times New Roman"/>
          <w:sz w:val="28"/>
          <w:szCs w:val="28"/>
        </w:rPr>
        <w:t xml:space="preserve">. </w:t>
      </w:r>
      <w:proofErr w:type="spellStart"/>
      <w:r w:rsidR="00B53E2C" w:rsidRPr="00B53E2C">
        <w:rPr>
          <w:rFonts w:ascii="Times New Roman" w:eastAsia="TimesNewRomanPSMT" w:hAnsi="Times New Roman" w:cs="Times New Roman"/>
          <w:sz w:val="28"/>
          <w:szCs w:val="28"/>
        </w:rPr>
        <w:t>дис</w:t>
      </w:r>
      <w:proofErr w:type="spellEnd"/>
      <w:r w:rsidR="00B53E2C" w:rsidRPr="00B53E2C">
        <w:rPr>
          <w:rFonts w:ascii="Times New Roman" w:eastAsia="TimesNewRomanPSMT" w:hAnsi="Times New Roman" w:cs="Times New Roman"/>
          <w:sz w:val="28"/>
          <w:szCs w:val="28"/>
        </w:rPr>
        <w:t xml:space="preserve">. на здобуття наук. ступеня </w:t>
      </w:r>
      <w:proofErr w:type="spellStart"/>
      <w:r w:rsidR="00B53E2C" w:rsidRPr="00B53E2C">
        <w:rPr>
          <w:rFonts w:ascii="Times New Roman" w:eastAsia="TimesNewRomanPSMT" w:hAnsi="Times New Roman" w:cs="Times New Roman"/>
          <w:sz w:val="28"/>
          <w:szCs w:val="28"/>
        </w:rPr>
        <w:t>канд</w:t>
      </w:r>
      <w:proofErr w:type="spellEnd"/>
      <w:r w:rsidR="00B53E2C" w:rsidRPr="00B53E2C">
        <w:rPr>
          <w:rFonts w:ascii="Times New Roman" w:eastAsia="TimesNewRomanPSMT" w:hAnsi="Times New Roman" w:cs="Times New Roman"/>
          <w:sz w:val="28"/>
          <w:szCs w:val="28"/>
        </w:rPr>
        <w:t xml:space="preserve">. </w:t>
      </w:r>
      <w:proofErr w:type="spellStart"/>
      <w:r w:rsidR="00B53E2C" w:rsidRPr="00B53E2C">
        <w:rPr>
          <w:rFonts w:ascii="Times New Roman" w:eastAsia="TimesNewRomanPSMT" w:hAnsi="Times New Roman" w:cs="Times New Roman"/>
          <w:sz w:val="28"/>
          <w:szCs w:val="28"/>
        </w:rPr>
        <w:t>екон</w:t>
      </w:r>
      <w:proofErr w:type="spellEnd"/>
      <w:r w:rsidR="00B53E2C" w:rsidRPr="00B53E2C">
        <w:rPr>
          <w:rFonts w:ascii="Times New Roman" w:eastAsia="TimesNewRomanPSMT" w:hAnsi="Times New Roman" w:cs="Times New Roman"/>
          <w:sz w:val="28"/>
          <w:szCs w:val="28"/>
        </w:rPr>
        <w:t xml:space="preserve">. </w:t>
      </w:r>
      <w:proofErr w:type="spellStart"/>
      <w:r w:rsidR="00B53E2C" w:rsidRPr="00B53E2C">
        <w:rPr>
          <w:rFonts w:ascii="Times New Roman" w:eastAsia="TimesNewRomanPSMT" w:hAnsi="Times New Roman" w:cs="Times New Roman"/>
          <w:sz w:val="28"/>
          <w:szCs w:val="28"/>
        </w:rPr>
        <w:t>наук:спец</w:t>
      </w:r>
      <w:proofErr w:type="spellEnd"/>
      <w:r w:rsidR="00B53E2C" w:rsidRPr="00B53E2C">
        <w:rPr>
          <w:rFonts w:ascii="Times New Roman" w:eastAsia="TimesNewRomanPSMT" w:hAnsi="Times New Roman" w:cs="Times New Roman"/>
          <w:sz w:val="28"/>
          <w:szCs w:val="28"/>
        </w:rPr>
        <w:t>. 08.06.04 «Бухгалтерський облік, аналіз та аудит». Київ, 2006. 21 с.</w:t>
      </w:r>
    </w:p>
    <w:p w14:paraId="11053DED" w14:textId="6A60EC57" w:rsidR="00033D41" w:rsidRPr="00033D41" w:rsidRDefault="00E00032" w:rsidP="00713DC7">
      <w:pPr>
        <w:spacing w:line="360" w:lineRule="auto"/>
        <w:ind w:firstLine="567"/>
        <w:jc w:val="both"/>
        <w:rPr>
          <w:rFonts w:ascii="Times New Roman" w:hAnsi="Times New Roman" w:cs="Times New Roman"/>
          <w:bCs/>
          <w:iCs/>
          <w:sz w:val="28"/>
          <w:szCs w:val="28"/>
        </w:rPr>
      </w:pPr>
      <w:r>
        <w:rPr>
          <w:rFonts w:ascii="Times New Roman" w:eastAsia="Times New Roman" w:hAnsi="Times New Roman" w:cs="Times New Roman"/>
          <w:sz w:val="28"/>
          <w:szCs w:val="28"/>
        </w:rPr>
        <w:t xml:space="preserve">5. </w:t>
      </w:r>
      <w:proofErr w:type="spellStart"/>
      <w:r w:rsidR="00B53E2C" w:rsidRPr="00B53E2C">
        <w:rPr>
          <w:rFonts w:ascii="Times New Roman" w:eastAsia="TimesNewRomanPSMT" w:hAnsi="Times New Roman" w:cs="Times New Roman"/>
          <w:sz w:val="28"/>
          <w:szCs w:val="28"/>
        </w:rPr>
        <w:t>Шмиголь</w:t>
      </w:r>
      <w:proofErr w:type="spellEnd"/>
      <w:r w:rsidR="00B53E2C" w:rsidRPr="00B53E2C">
        <w:rPr>
          <w:rFonts w:ascii="Times New Roman" w:eastAsia="TimesNewRomanPSMT" w:hAnsi="Times New Roman" w:cs="Times New Roman"/>
          <w:sz w:val="28"/>
          <w:szCs w:val="28"/>
        </w:rPr>
        <w:t xml:space="preserve"> Н.М. Методологія управління прямими доходами підприємства.</w:t>
      </w:r>
      <w:r>
        <w:rPr>
          <w:rFonts w:ascii="Times New Roman" w:eastAsia="TimesNewRomanPSMT" w:hAnsi="Times New Roman" w:cs="Times New Roman"/>
          <w:sz w:val="28"/>
          <w:szCs w:val="28"/>
        </w:rPr>
        <w:t xml:space="preserve"> </w:t>
      </w:r>
      <w:r w:rsidR="00B53E2C" w:rsidRPr="00B53E2C">
        <w:rPr>
          <w:rFonts w:ascii="Times New Roman" w:eastAsia="TimesNewRomanPSMT" w:hAnsi="Times New Roman" w:cs="Times New Roman"/>
          <w:sz w:val="28"/>
          <w:szCs w:val="28"/>
        </w:rPr>
        <w:t xml:space="preserve">URL: </w:t>
      </w:r>
      <w:hyperlink r:id="rId6" w:history="1">
        <w:r w:rsidR="00A5560F" w:rsidRPr="00542E76">
          <w:rPr>
            <w:rStyle w:val="a5"/>
            <w:rFonts w:ascii="Times New Roman" w:eastAsia="TimesNewRomanPSMT" w:hAnsi="Times New Roman" w:cs="Times New Roman"/>
            <w:sz w:val="28"/>
            <w:szCs w:val="28"/>
          </w:rPr>
          <w:t>http://www.nbuv.gov.ua/portal/Soc_Gum/Dtr_ep/2010_6/files/EC610_40.pdf</w:t>
        </w:r>
      </w:hyperlink>
      <w:r w:rsidR="00713DC7">
        <w:rPr>
          <w:rFonts w:ascii="Times New Roman" w:eastAsia="TimesNewRomanPSMT" w:hAnsi="Times New Roman" w:cs="Times New Roman"/>
          <w:sz w:val="28"/>
          <w:szCs w:val="28"/>
        </w:rPr>
        <w:t>.</w:t>
      </w:r>
      <w:bookmarkStart w:id="0" w:name="_GoBack"/>
      <w:bookmarkEnd w:id="0"/>
    </w:p>
    <w:sectPr w:rsidR="00033D41" w:rsidRPr="00033D41" w:rsidSect="00B215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09"/>
    <w:rsid w:val="00033D41"/>
    <w:rsid w:val="00054D38"/>
    <w:rsid w:val="002179EC"/>
    <w:rsid w:val="00237BC6"/>
    <w:rsid w:val="002529E6"/>
    <w:rsid w:val="002C3909"/>
    <w:rsid w:val="003B60AF"/>
    <w:rsid w:val="00473042"/>
    <w:rsid w:val="00537BEE"/>
    <w:rsid w:val="00586C6D"/>
    <w:rsid w:val="00621CF2"/>
    <w:rsid w:val="00713DC7"/>
    <w:rsid w:val="00764158"/>
    <w:rsid w:val="00786F00"/>
    <w:rsid w:val="007E6F3C"/>
    <w:rsid w:val="00836E14"/>
    <w:rsid w:val="0095420F"/>
    <w:rsid w:val="00A042B0"/>
    <w:rsid w:val="00A5560F"/>
    <w:rsid w:val="00B2152A"/>
    <w:rsid w:val="00B53E2C"/>
    <w:rsid w:val="00C30A4F"/>
    <w:rsid w:val="00C445D8"/>
    <w:rsid w:val="00E00032"/>
    <w:rsid w:val="00EB3F3A"/>
    <w:rsid w:val="00F7787E"/>
    <w:rsid w:val="00FF2DC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44D7"/>
  <w15:chartTrackingRefBased/>
  <w15:docId w15:val="{D9AD8E79-B0EE-4621-840E-9923B75E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3A"/>
    <w:pPr>
      <w:spacing w:after="0" w:line="240" w:lineRule="auto"/>
    </w:pPr>
    <w:rPr>
      <w:rFonts w:ascii="Cambria Math" w:eastAsia="Cambria Math" w:hAnsi="Cambria Math" w:cs="Cambria Math"/>
      <w:sz w:val="24"/>
      <w:szCs w:val="24"/>
      <w:lang w:eastAsia="ru-RU"/>
    </w:rPr>
  </w:style>
  <w:style w:type="paragraph" w:styleId="1">
    <w:name w:val="heading 1"/>
    <w:basedOn w:val="a"/>
    <w:next w:val="a"/>
    <w:link w:val="10"/>
    <w:qFormat/>
    <w:rsid w:val="00033D41"/>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41"/>
    <w:rPr>
      <w:rFonts w:ascii="Cambria" w:eastAsia="Times New Roman" w:hAnsi="Cambria" w:cs="Times New Roman"/>
      <w:b/>
      <w:bCs/>
      <w:kern w:val="32"/>
      <w:sz w:val="32"/>
      <w:szCs w:val="32"/>
      <w:lang w:eastAsia="ru-RU"/>
    </w:rPr>
  </w:style>
  <w:style w:type="character" w:customStyle="1" w:styleId="acopre">
    <w:name w:val="acopre"/>
    <w:basedOn w:val="a0"/>
    <w:rsid w:val="00033D41"/>
  </w:style>
  <w:style w:type="paragraph" w:styleId="a3">
    <w:name w:val="Normal (Web)"/>
    <w:aliases w:val="л‡ћЦ’ћЋ (Web)"/>
    <w:basedOn w:val="a"/>
    <w:link w:val="a4"/>
    <w:qFormat/>
    <w:rsid w:val="00537BEE"/>
    <w:pPr>
      <w:spacing w:before="100" w:beforeAutospacing="1" w:after="100" w:afterAutospacing="1"/>
    </w:pPr>
    <w:rPr>
      <w:lang w:val="ru-RU"/>
    </w:rPr>
  </w:style>
  <w:style w:type="character" w:styleId="a5">
    <w:name w:val="Hyperlink"/>
    <w:basedOn w:val="a0"/>
    <w:uiPriority w:val="99"/>
    <w:unhideWhenUsed/>
    <w:rsid w:val="00B53E2C"/>
    <w:rPr>
      <w:color w:val="0563C1" w:themeColor="hyperlink"/>
      <w:u w:val="single"/>
    </w:rPr>
  </w:style>
  <w:style w:type="character" w:customStyle="1" w:styleId="UnresolvedMention">
    <w:name w:val="Unresolved Mention"/>
    <w:basedOn w:val="a0"/>
    <w:uiPriority w:val="99"/>
    <w:semiHidden/>
    <w:unhideWhenUsed/>
    <w:rsid w:val="00B53E2C"/>
    <w:rPr>
      <w:color w:val="605E5C"/>
      <w:shd w:val="clear" w:color="auto" w:fill="E1DFDD"/>
    </w:rPr>
  </w:style>
  <w:style w:type="character" w:customStyle="1" w:styleId="a4">
    <w:name w:val="Обычный (веб) Знак"/>
    <w:aliases w:val="л‡ћЦ’ћЋ (Web) Знак"/>
    <w:link w:val="a3"/>
    <w:locked/>
    <w:rsid w:val="00713DC7"/>
    <w:rPr>
      <w:rFonts w:ascii="Cambria Math" w:eastAsia="Cambria Math" w:hAnsi="Cambria Math" w:cs="Cambria Math"/>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uv.gov.ua/portal/Soc_Gum/Dtr_ep/2010_6/files/EC610_40.pdf" TargetMode="External"/><Relationship Id="rId5" Type="http://schemas.openxmlformats.org/officeDocument/2006/relationships/hyperlink" Target="http://www.marketing-ua.com/articles.php?articleId=348" TargetMode="External"/><Relationship Id="rId4" Type="http://schemas.openxmlformats.org/officeDocument/2006/relationships/hyperlink" Target="http://www.minfin.gov.ua/control/uk/publish/archive/main?cat_id=24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1218</Words>
  <Characters>6949</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14</cp:revision>
  <dcterms:created xsi:type="dcterms:W3CDTF">2024-04-11T04:35:00Z</dcterms:created>
  <dcterms:modified xsi:type="dcterms:W3CDTF">2024-04-16T06:49:00Z</dcterms:modified>
</cp:coreProperties>
</file>