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69" w:rsidRPr="00D705F6" w:rsidRDefault="00075969" w:rsidP="00075969">
      <w:pPr>
        <w:pStyle w:val="1"/>
        <w:rPr>
          <w:b/>
          <w:i/>
          <w:szCs w:val="28"/>
          <w:lang w:val="ru-RU"/>
        </w:rPr>
      </w:pPr>
      <w:r w:rsidRPr="00D705F6">
        <w:rPr>
          <w:b/>
          <w:szCs w:val="28"/>
        </w:rPr>
        <w:t>УДК 631:368.914.2</w:t>
      </w:r>
    </w:p>
    <w:p w:rsidR="000804FE" w:rsidRPr="002E3829" w:rsidRDefault="000804FE" w:rsidP="002E3829">
      <w:pPr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2E3829">
        <w:rPr>
          <w:rFonts w:ascii="Times New Roman" w:hAnsi="Times New Roman"/>
          <w:b/>
          <w:sz w:val="28"/>
          <w:szCs w:val="28"/>
        </w:rPr>
        <w:t>Олександр РУДИК</w:t>
      </w:r>
      <w:r w:rsidR="002E3829" w:rsidRPr="002E3829">
        <w:rPr>
          <w:rFonts w:ascii="Times New Roman" w:hAnsi="Times New Roman"/>
          <w:sz w:val="28"/>
          <w:szCs w:val="28"/>
        </w:rPr>
        <w:t>,</w:t>
      </w:r>
    </w:p>
    <w:p w:rsidR="000804FE" w:rsidRPr="00D705F6" w:rsidRDefault="000804FE" w:rsidP="002E3829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bookmarkStart w:id="0" w:name="_Hlk494107108"/>
      <w:r w:rsidRPr="00D705F6">
        <w:rPr>
          <w:rFonts w:ascii="Times New Roman" w:hAnsi="Times New Roman"/>
          <w:sz w:val="28"/>
        </w:rPr>
        <w:t>здобувач вищої освіти ступеня доктора філософії</w:t>
      </w:r>
      <w:bookmarkEnd w:id="0"/>
    </w:p>
    <w:p w:rsidR="000804FE" w:rsidRPr="00D705F6" w:rsidRDefault="000804FE" w:rsidP="002E3829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D705F6">
        <w:rPr>
          <w:rFonts w:ascii="Times New Roman" w:hAnsi="Times New Roman"/>
          <w:sz w:val="28"/>
          <w:szCs w:val="28"/>
        </w:rPr>
        <w:t>спеціальності 051 «Економіка»,</w:t>
      </w:r>
    </w:p>
    <w:p w:rsidR="00D15ADD" w:rsidRPr="00D705F6" w:rsidRDefault="00D15ADD" w:rsidP="002E3829">
      <w:pPr>
        <w:spacing w:after="0" w:line="240" w:lineRule="auto"/>
        <w:ind w:firstLine="540"/>
        <w:jc w:val="right"/>
        <w:rPr>
          <w:rFonts w:ascii="Times New Roman" w:eastAsia="Symbol" w:hAnsi="Times New Roman" w:cs="Times New Roman"/>
          <w:sz w:val="28"/>
          <w:szCs w:val="28"/>
        </w:rPr>
      </w:pPr>
      <w:r w:rsidRPr="00D705F6">
        <w:rPr>
          <w:rFonts w:ascii="Times New Roman" w:eastAsia="Symbol" w:hAnsi="Times New Roman" w:cs="Times New Roman"/>
          <w:sz w:val="28"/>
          <w:szCs w:val="28"/>
        </w:rPr>
        <w:t xml:space="preserve">Науковий керівник: </w:t>
      </w:r>
      <w:r w:rsidRPr="00D705F6">
        <w:rPr>
          <w:rFonts w:ascii="Times New Roman" w:eastAsia="Symbol" w:hAnsi="Times New Roman" w:cs="Times New Roman"/>
          <w:b/>
          <w:sz w:val="28"/>
          <w:szCs w:val="28"/>
        </w:rPr>
        <w:t>Наталія КОРЖЕНІВСЬКА</w:t>
      </w:r>
      <w:r w:rsidRPr="00D705F6">
        <w:rPr>
          <w:rFonts w:ascii="Times New Roman" w:eastAsia="Symbol" w:hAnsi="Times New Roman" w:cs="Times New Roman"/>
          <w:sz w:val="28"/>
          <w:szCs w:val="28"/>
        </w:rPr>
        <w:t>,</w:t>
      </w:r>
    </w:p>
    <w:p w:rsidR="00D15ADD" w:rsidRPr="00D705F6" w:rsidRDefault="00D15ADD" w:rsidP="002E3829">
      <w:pPr>
        <w:tabs>
          <w:tab w:val="left" w:pos="1035"/>
        </w:tabs>
        <w:spacing w:line="240" w:lineRule="auto"/>
        <w:jc w:val="right"/>
        <w:rPr>
          <w:rFonts w:ascii="Times New Roman" w:eastAsia="Symbol" w:hAnsi="Times New Roman" w:cs="Times New Roman"/>
          <w:sz w:val="28"/>
          <w:szCs w:val="28"/>
        </w:rPr>
      </w:pPr>
      <w:r w:rsidRPr="00D705F6">
        <w:rPr>
          <w:rFonts w:ascii="Times New Roman" w:eastAsia="Symbol" w:hAnsi="Times New Roman" w:cs="Times New Roman"/>
          <w:sz w:val="28"/>
          <w:szCs w:val="28"/>
        </w:rPr>
        <w:t xml:space="preserve">д-р </w:t>
      </w:r>
      <w:proofErr w:type="spellStart"/>
      <w:r w:rsidRPr="00D705F6">
        <w:rPr>
          <w:rFonts w:ascii="Times New Roman" w:eastAsia="Symbol" w:hAnsi="Times New Roman" w:cs="Times New Roman"/>
          <w:sz w:val="28"/>
          <w:szCs w:val="28"/>
        </w:rPr>
        <w:t>екон</w:t>
      </w:r>
      <w:proofErr w:type="spellEnd"/>
      <w:r w:rsidRPr="00D705F6">
        <w:rPr>
          <w:rFonts w:ascii="Times New Roman" w:eastAsia="Symbol" w:hAnsi="Times New Roman" w:cs="Times New Roman"/>
          <w:sz w:val="28"/>
          <w:szCs w:val="28"/>
        </w:rPr>
        <w:t>. н., професор кафедри економіки</w:t>
      </w:r>
      <w:r w:rsidR="002E3829">
        <w:rPr>
          <w:rFonts w:ascii="Times New Roman" w:eastAsia="Symbol" w:hAnsi="Times New Roman" w:cs="Times New Roman"/>
          <w:sz w:val="28"/>
          <w:szCs w:val="28"/>
        </w:rPr>
        <w:t>,</w:t>
      </w:r>
    </w:p>
    <w:p w:rsidR="00D15ADD" w:rsidRPr="00D705F6" w:rsidRDefault="00D15ADD" w:rsidP="002E3829">
      <w:pPr>
        <w:tabs>
          <w:tab w:val="left" w:pos="1035"/>
        </w:tabs>
        <w:spacing w:line="240" w:lineRule="auto"/>
        <w:jc w:val="right"/>
        <w:rPr>
          <w:rFonts w:ascii="Times New Roman" w:eastAsia="Symbol" w:hAnsi="Times New Roman" w:cs="Times New Roman"/>
          <w:sz w:val="28"/>
          <w:szCs w:val="28"/>
        </w:rPr>
      </w:pPr>
      <w:r w:rsidRPr="00D705F6">
        <w:rPr>
          <w:rFonts w:ascii="Times New Roman" w:eastAsia="Symbol" w:hAnsi="Times New Roman" w:cs="Times New Roman"/>
          <w:sz w:val="28"/>
          <w:szCs w:val="28"/>
        </w:rPr>
        <w:t>підприємництва, т</w:t>
      </w:r>
      <w:r w:rsidR="002E3829">
        <w:rPr>
          <w:rFonts w:ascii="Times New Roman" w:eastAsia="Symbol" w:hAnsi="Times New Roman" w:cs="Times New Roman"/>
          <w:sz w:val="28"/>
          <w:szCs w:val="28"/>
        </w:rPr>
        <w:t>оргівлі та біржової діяльності</w:t>
      </w:r>
    </w:p>
    <w:p w:rsidR="00D15ADD" w:rsidRPr="00D705F6" w:rsidRDefault="00D15ADD" w:rsidP="002E3829">
      <w:pPr>
        <w:tabs>
          <w:tab w:val="left" w:pos="1035"/>
        </w:tabs>
        <w:spacing w:line="240" w:lineRule="auto"/>
        <w:jc w:val="right"/>
        <w:rPr>
          <w:rFonts w:ascii="Times New Roman" w:eastAsia="Symbol" w:hAnsi="Times New Roman" w:cs="Times New Roman"/>
          <w:sz w:val="28"/>
          <w:szCs w:val="28"/>
        </w:rPr>
      </w:pPr>
      <w:r w:rsidRPr="00D705F6">
        <w:rPr>
          <w:rFonts w:ascii="Times New Roman" w:eastAsia="Symbol" w:hAnsi="Times New Roman" w:cs="Times New Roman"/>
          <w:sz w:val="28"/>
          <w:szCs w:val="28"/>
        </w:rPr>
        <w:t xml:space="preserve">Заклад вищої освіти «Подільський державний університет», </w:t>
      </w:r>
    </w:p>
    <w:p w:rsidR="00D15ADD" w:rsidRPr="00D705F6" w:rsidRDefault="00D15ADD" w:rsidP="002E3829">
      <w:pPr>
        <w:tabs>
          <w:tab w:val="left" w:pos="1035"/>
        </w:tabs>
        <w:spacing w:line="240" w:lineRule="auto"/>
        <w:jc w:val="right"/>
        <w:rPr>
          <w:rFonts w:ascii="Times New Roman" w:eastAsia="Symbol" w:hAnsi="Times New Roman" w:cs="Times New Roman"/>
          <w:sz w:val="28"/>
          <w:szCs w:val="28"/>
        </w:rPr>
      </w:pPr>
      <w:r w:rsidRPr="00D705F6">
        <w:rPr>
          <w:rFonts w:ascii="Times New Roman" w:eastAsia="Symbol" w:hAnsi="Times New Roman" w:cs="Times New Roman"/>
          <w:sz w:val="28"/>
          <w:szCs w:val="28"/>
        </w:rPr>
        <w:t>м. Кам’янець-Подільський</w:t>
      </w:r>
    </w:p>
    <w:p w:rsidR="000804FE" w:rsidRPr="002E3829" w:rsidRDefault="000804FE" w:rsidP="002E3829">
      <w:pPr>
        <w:tabs>
          <w:tab w:val="left" w:pos="284"/>
        </w:tabs>
        <w:spacing w:line="360" w:lineRule="auto"/>
        <w:ind w:left="284" w:right="113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04FE" w:rsidRPr="002E3829" w:rsidRDefault="00AA5A8F" w:rsidP="002E3829">
      <w:pPr>
        <w:spacing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829">
        <w:rPr>
          <w:rFonts w:ascii="Times New Roman" w:hAnsi="Times New Roman" w:cs="Times New Roman"/>
          <w:b/>
          <w:bCs/>
          <w:sz w:val="28"/>
          <w:szCs w:val="28"/>
        </w:rPr>
        <w:t>ПРАВОВІ АСПЕКТИ</w:t>
      </w:r>
      <w:r w:rsidR="00AE446F" w:rsidRPr="002E3829">
        <w:rPr>
          <w:rFonts w:ascii="Times New Roman" w:hAnsi="Times New Roman" w:cs="Times New Roman"/>
          <w:b/>
          <w:bCs/>
          <w:sz w:val="28"/>
          <w:szCs w:val="28"/>
        </w:rPr>
        <w:t xml:space="preserve"> ФОРМУВАННЯ ФІНАНСОВО</w:t>
      </w:r>
      <w:r w:rsidR="002E382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E446F" w:rsidRPr="002E3829">
        <w:rPr>
          <w:rFonts w:ascii="Times New Roman" w:hAnsi="Times New Roman" w:cs="Times New Roman"/>
          <w:b/>
          <w:bCs/>
          <w:sz w:val="28"/>
          <w:szCs w:val="28"/>
        </w:rPr>
        <w:t>ЕКОНОМІЧНОГО МЕХАНІЗМУ ПЕНСІЙНОГО ЗАБЕЗПЕЧЕННЯ ГРОМАДЯН</w:t>
      </w:r>
    </w:p>
    <w:p w:rsidR="000804FE" w:rsidRPr="00D705F6" w:rsidRDefault="000804FE" w:rsidP="000804FE">
      <w:pPr>
        <w:spacing w:line="360" w:lineRule="auto"/>
        <w:ind w:left="-567" w:right="283"/>
        <w:jc w:val="both"/>
        <w:rPr>
          <w:rFonts w:ascii="Times New Roman" w:hAnsi="Times New Roman" w:cs="Times New Roman"/>
        </w:rPr>
      </w:pPr>
    </w:p>
    <w:p w:rsidR="00AA5A8F" w:rsidRPr="00D705F6" w:rsidRDefault="00AA5A8F" w:rsidP="00AA5A8F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5F6">
        <w:rPr>
          <w:rFonts w:ascii="Times New Roman" w:hAnsi="Times New Roman" w:cs="Times New Roman"/>
          <w:sz w:val="28"/>
          <w:szCs w:val="28"/>
        </w:rPr>
        <w:t>Формування оптимальної пенсійної моделі в нашій країні є достатньо складним завданням і потребує тривалої і напруженої роботи з боку суспільства. Створення і функціонування фінансово</w:t>
      </w:r>
      <w:r w:rsidR="002E3829">
        <w:rPr>
          <w:rFonts w:ascii="Times New Roman" w:hAnsi="Times New Roman" w:cs="Times New Roman"/>
          <w:sz w:val="28"/>
          <w:szCs w:val="28"/>
        </w:rPr>
        <w:t xml:space="preserve">-економічного механізму </w:t>
      </w:r>
      <w:r w:rsidRPr="00D705F6">
        <w:rPr>
          <w:rFonts w:ascii="Times New Roman" w:hAnsi="Times New Roman" w:cs="Times New Roman"/>
          <w:sz w:val="28"/>
          <w:szCs w:val="28"/>
        </w:rPr>
        <w:t>пенсійного забезпечення громадян</w:t>
      </w:r>
      <w:r w:rsidR="00A54866" w:rsidRPr="00D705F6">
        <w:rPr>
          <w:rFonts w:ascii="Times New Roman" w:hAnsi="Times New Roman" w:cs="Times New Roman"/>
          <w:sz w:val="28"/>
          <w:szCs w:val="28"/>
        </w:rPr>
        <w:t xml:space="preserve"> має враховувати вплив демографічних, соціально</w:t>
      </w:r>
      <w:r w:rsidR="002E3829">
        <w:rPr>
          <w:rFonts w:ascii="Times New Roman" w:hAnsi="Times New Roman" w:cs="Times New Roman"/>
          <w:sz w:val="28"/>
          <w:szCs w:val="28"/>
        </w:rPr>
        <w:t>-</w:t>
      </w:r>
      <w:r w:rsidR="00A54866" w:rsidRPr="00D705F6">
        <w:rPr>
          <w:rFonts w:ascii="Times New Roman" w:hAnsi="Times New Roman" w:cs="Times New Roman"/>
          <w:sz w:val="28"/>
          <w:szCs w:val="28"/>
        </w:rPr>
        <w:t xml:space="preserve">політичних, економічних факторів, які відбуваються в Україні. Для того, щоб такий механізм був сформований  і ефективно регламентував фінансові відносини між суб’єктами пенсійної сфери потрібно розробити відповідне вітчизняне пенсійне законодавство. </w:t>
      </w:r>
      <w:r w:rsidRPr="00D705F6">
        <w:rPr>
          <w:rFonts w:ascii="Times New Roman" w:hAnsi="Times New Roman" w:cs="Times New Roman"/>
          <w:sz w:val="28"/>
          <w:szCs w:val="28"/>
        </w:rPr>
        <w:t>Досвід європейських країн показує, що відсутність досконалої юридичної бази значно зменшує ефективніст</w:t>
      </w:r>
      <w:r w:rsidR="002E3829">
        <w:rPr>
          <w:rFonts w:ascii="Times New Roman" w:hAnsi="Times New Roman" w:cs="Times New Roman"/>
          <w:sz w:val="28"/>
          <w:szCs w:val="28"/>
        </w:rPr>
        <w:t xml:space="preserve">ь проведення пенсійних реформ. </w:t>
      </w:r>
      <w:r w:rsidRPr="00D705F6">
        <w:rPr>
          <w:rFonts w:ascii="Times New Roman" w:hAnsi="Times New Roman" w:cs="Times New Roman"/>
          <w:sz w:val="28"/>
          <w:szCs w:val="28"/>
        </w:rPr>
        <w:t>У зв’язку з цим юридичний аспект відіграє ключову роль в процесі реформування вітчизняної пенсійної системи</w:t>
      </w:r>
      <w:r w:rsidR="002E3829">
        <w:rPr>
          <w:rFonts w:ascii="Times New Roman" w:hAnsi="Times New Roman" w:cs="Times New Roman"/>
          <w:sz w:val="28"/>
          <w:szCs w:val="28"/>
        </w:rPr>
        <w:t> </w:t>
      </w:r>
      <w:r w:rsidR="002E3829">
        <w:rPr>
          <w:rFonts w:ascii="Times New Roman" w:hAnsi="Times New Roman"/>
          <w:sz w:val="28"/>
          <w:szCs w:val="28"/>
        </w:rPr>
        <w:t>[1].</w:t>
      </w:r>
    </w:p>
    <w:p w:rsidR="00A54866" w:rsidRPr="00D705F6" w:rsidRDefault="00A54866" w:rsidP="00AA5A8F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5F6">
        <w:rPr>
          <w:rFonts w:ascii="Times New Roman" w:hAnsi="Times New Roman" w:cs="Times New Roman"/>
          <w:sz w:val="28"/>
          <w:szCs w:val="28"/>
        </w:rPr>
        <w:t xml:space="preserve">Законодавче забезпечення </w:t>
      </w:r>
      <w:r w:rsidR="006B0E6F" w:rsidRPr="00D705F6">
        <w:rPr>
          <w:rFonts w:ascii="Times New Roman" w:hAnsi="Times New Roman" w:cs="Times New Roman"/>
          <w:sz w:val="28"/>
          <w:szCs w:val="28"/>
        </w:rPr>
        <w:t>щодо створення сучасної пенсійної системи України почали формувати ще у 90</w:t>
      </w:r>
      <w:r w:rsidR="002E3829">
        <w:rPr>
          <w:rFonts w:ascii="Times New Roman" w:hAnsi="Times New Roman" w:cs="Times New Roman"/>
          <w:sz w:val="28"/>
          <w:szCs w:val="28"/>
        </w:rPr>
        <w:t>-</w:t>
      </w:r>
      <w:r w:rsidR="006B0E6F" w:rsidRPr="00D705F6">
        <w:rPr>
          <w:rFonts w:ascii="Times New Roman" w:hAnsi="Times New Roman" w:cs="Times New Roman"/>
          <w:sz w:val="28"/>
          <w:szCs w:val="28"/>
        </w:rPr>
        <w:t>х роках ХХ</w:t>
      </w:r>
      <w:r w:rsidR="002E3829">
        <w:rPr>
          <w:rFonts w:ascii="Times New Roman" w:hAnsi="Times New Roman" w:cs="Times New Roman"/>
          <w:sz w:val="28"/>
          <w:szCs w:val="28"/>
        </w:rPr>
        <w:t>-</w:t>
      </w:r>
      <w:r w:rsidR="006B0E6F" w:rsidRPr="00D705F6">
        <w:rPr>
          <w:rFonts w:ascii="Times New Roman" w:hAnsi="Times New Roman" w:cs="Times New Roman"/>
          <w:sz w:val="28"/>
          <w:szCs w:val="28"/>
        </w:rPr>
        <w:t>го століття, коли наша держава здійснювала перехід на засади ринкової економіки. Роль правової бази у формуванні фінансово</w:t>
      </w:r>
      <w:r w:rsidR="002E3829">
        <w:rPr>
          <w:rFonts w:ascii="Times New Roman" w:hAnsi="Times New Roman" w:cs="Times New Roman"/>
          <w:sz w:val="28"/>
          <w:szCs w:val="28"/>
        </w:rPr>
        <w:t>-</w:t>
      </w:r>
      <w:r w:rsidR="006B0E6F" w:rsidRPr="00D705F6">
        <w:rPr>
          <w:rFonts w:ascii="Times New Roman" w:hAnsi="Times New Roman" w:cs="Times New Roman"/>
          <w:sz w:val="28"/>
          <w:szCs w:val="28"/>
        </w:rPr>
        <w:t xml:space="preserve">економічного механізму пенсійного забезпечення </w:t>
      </w:r>
      <w:r w:rsidR="006B0E6F" w:rsidRPr="00D705F6">
        <w:rPr>
          <w:rFonts w:ascii="Times New Roman" w:hAnsi="Times New Roman" w:cs="Times New Roman"/>
          <w:sz w:val="28"/>
          <w:szCs w:val="28"/>
        </w:rPr>
        <w:lastRenderedPageBreak/>
        <w:t>громадян полягає в забезпеченні стабільності та прозорості системи, а також гарантуванні соціальних прав учасників. Перші законодавчі документи, які були прийняті в той період формували основні принципи, на яких ґрунтується правова база пенсійного забезпечення.</w:t>
      </w:r>
      <w:r w:rsidR="00D34D66" w:rsidRPr="00D705F6">
        <w:rPr>
          <w:rFonts w:ascii="Times New Roman" w:hAnsi="Times New Roman" w:cs="Times New Roman"/>
          <w:sz w:val="28"/>
          <w:szCs w:val="28"/>
        </w:rPr>
        <w:t xml:space="preserve"> Вони включають соціальну справедливість, економічну стійкість, добровільність та прозорість.</w:t>
      </w:r>
    </w:p>
    <w:p w:rsidR="00D34D66" w:rsidRPr="00D705F6" w:rsidRDefault="00D34D66" w:rsidP="00D34D66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5F6">
        <w:rPr>
          <w:rFonts w:ascii="Times New Roman" w:hAnsi="Times New Roman" w:cs="Times New Roman"/>
          <w:sz w:val="28"/>
          <w:szCs w:val="28"/>
        </w:rPr>
        <w:t>Україна, використовуючи досвід європейських країн, в основу своєї національної пенсійної системи поставила багаторівневу пенсійну модель. У зв’язку з цим, п</w:t>
      </w:r>
      <w:r w:rsidRPr="00D705F6">
        <w:rPr>
          <w:rFonts w:ascii="Times New Roman" w:hAnsi="Times New Roman"/>
          <w:sz w:val="28"/>
          <w:szCs w:val="28"/>
        </w:rPr>
        <w:t>ерша законодавча база, яка регламентувала використання в національній пенсійній системі України всіх трьох рівнів, була прийнята у 2003 році. До неї належали Закони України «Про загальнообов’язкове державне пенсійне страхування» та «Про недержавне пенсійне забезпечення», які набирали чинності з 1 січня 2004 року [</w:t>
      </w:r>
      <w:r w:rsidR="00D705F6" w:rsidRPr="00D705F6">
        <w:rPr>
          <w:rFonts w:ascii="Times New Roman" w:hAnsi="Times New Roman"/>
          <w:sz w:val="28"/>
          <w:szCs w:val="28"/>
        </w:rPr>
        <w:t>2</w:t>
      </w:r>
      <w:r w:rsidRPr="00D705F6">
        <w:rPr>
          <w:rFonts w:ascii="Times New Roman" w:hAnsi="Times New Roman"/>
          <w:sz w:val="28"/>
          <w:szCs w:val="28"/>
        </w:rPr>
        <w:t xml:space="preserve">; </w:t>
      </w:r>
      <w:r w:rsidR="00D705F6" w:rsidRPr="00D705F6">
        <w:rPr>
          <w:rFonts w:ascii="Times New Roman" w:hAnsi="Times New Roman"/>
          <w:sz w:val="28"/>
          <w:szCs w:val="28"/>
        </w:rPr>
        <w:t>3</w:t>
      </w:r>
      <w:r w:rsidR="002E3829">
        <w:rPr>
          <w:rFonts w:ascii="Times New Roman" w:hAnsi="Times New Roman"/>
          <w:sz w:val="28"/>
          <w:szCs w:val="28"/>
        </w:rPr>
        <w:t xml:space="preserve">]. </w:t>
      </w:r>
      <w:r w:rsidRPr="00D705F6">
        <w:rPr>
          <w:rFonts w:ascii="Times New Roman" w:hAnsi="Times New Roman" w:cs="Times New Roman"/>
          <w:sz w:val="28"/>
          <w:szCs w:val="28"/>
        </w:rPr>
        <w:t>Перший із цих законів передбачав формування накопичувальної системи загальнообов'язкового державного пенсійного страхування, однак його впровадження відкладається з року на рік. Другий закон створив умови для впровадження в Україні, починаючи з 2004</w:t>
      </w:r>
      <w:r w:rsidR="002E3829">
        <w:rPr>
          <w:rFonts w:ascii="Times New Roman" w:hAnsi="Times New Roman" w:cs="Times New Roman"/>
          <w:sz w:val="28"/>
          <w:szCs w:val="28"/>
        </w:rPr>
        <w:t> </w:t>
      </w:r>
      <w:r w:rsidRPr="00D705F6">
        <w:rPr>
          <w:rFonts w:ascii="Times New Roman" w:hAnsi="Times New Roman" w:cs="Times New Roman"/>
          <w:sz w:val="28"/>
          <w:szCs w:val="28"/>
        </w:rPr>
        <w:t>р., системи недержавного пенсійного забезпечення (НПЗ). На даний час пенсійне страхування України регламентується біль</w:t>
      </w:r>
      <w:r w:rsidR="002E3829">
        <w:rPr>
          <w:rFonts w:ascii="Times New Roman" w:hAnsi="Times New Roman" w:cs="Times New Roman"/>
          <w:sz w:val="28"/>
          <w:szCs w:val="28"/>
        </w:rPr>
        <w:t>ше ніж 30 законодавчими актами.</w:t>
      </w:r>
    </w:p>
    <w:p w:rsidR="00D34D66" w:rsidRPr="00D705F6" w:rsidRDefault="00D34D66" w:rsidP="00D34D66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5F6">
        <w:rPr>
          <w:rFonts w:ascii="Times New Roman" w:hAnsi="Times New Roman" w:cs="Times New Roman"/>
          <w:sz w:val="28"/>
          <w:szCs w:val="28"/>
        </w:rPr>
        <w:t>Основним законодавчим актом, який утворює всю систему пенсійного забезпечення громадян є Закон України «Про загальнообов’язкове державне пенсійне страхування», прийнятий Верховною Радою України 09.07.2003 року</w:t>
      </w:r>
      <w:r w:rsidR="002E3829">
        <w:rPr>
          <w:rFonts w:ascii="Times New Roman" w:hAnsi="Times New Roman" w:cs="Times New Roman"/>
          <w:sz w:val="28"/>
          <w:szCs w:val="28"/>
        </w:rPr>
        <w:t> </w:t>
      </w:r>
      <w:r w:rsidRPr="00D705F6">
        <w:rPr>
          <w:rFonts w:ascii="Times New Roman" w:hAnsi="Times New Roman"/>
          <w:sz w:val="28"/>
          <w:szCs w:val="28"/>
        </w:rPr>
        <w:t>[</w:t>
      </w:r>
      <w:r w:rsidR="00D705F6" w:rsidRPr="00D705F6">
        <w:rPr>
          <w:rFonts w:ascii="Times New Roman" w:hAnsi="Times New Roman"/>
          <w:sz w:val="28"/>
          <w:szCs w:val="28"/>
        </w:rPr>
        <w:t>2</w:t>
      </w:r>
      <w:r w:rsidRPr="00D705F6">
        <w:rPr>
          <w:rFonts w:ascii="Times New Roman" w:hAnsi="Times New Roman"/>
          <w:sz w:val="28"/>
          <w:szCs w:val="28"/>
        </w:rPr>
        <w:t xml:space="preserve">]. </w:t>
      </w:r>
      <w:r w:rsidRPr="00D705F6">
        <w:rPr>
          <w:rFonts w:ascii="Times New Roman" w:hAnsi="Times New Roman" w:cs="Times New Roman"/>
          <w:sz w:val="28"/>
          <w:szCs w:val="28"/>
        </w:rPr>
        <w:t>Він визначає принципи, засади і механізми функціонування системи загальнообов’язкового державного пенсійного страхування, призначення, перерахунку і виплати пенсій, надання соціальних послуг з коштів Пенсійного фонду, що формуються за рахунок страхових внесків роботодавців, бюджетних та інших джерел, передбачених Законом, а також регулює порядок формування Накопичувального пенсійного фонду та фінансування за рахунок його коштів видатків на оплату договорів страхування довічних пенсій або одноразових виплат застрахованим особам, членам їхніх сімей та інши</w:t>
      </w:r>
      <w:r w:rsidR="002E3829">
        <w:rPr>
          <w:rFonts w:ascii="Times New Roman" w:hAnsi="Times New Roman" w:cs="Times New Roman"/>
          <w:sz w:val="28"/>
          <w:szCs w:val="28"/>
        </w:rPr>
        <w:t>м особам, передбаченим Законом.</w:t>
      </w:r>
    </w:p>
    <w:p w:rsidR="00FB2F35" w:rsidRPr="00D705F6" w:rsidRDefault="00D34D66" w:rsidP="00FB2F35">
      <w:pPr>
        <w:spacing w:line="360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D705F6">
        <w:rPr>
          <w:rFonts w:ascii="Times New Roman" w:hAnsi="Times New Roman" w:cs="Times New Roman"/>
          <w:sz w:val="28"/>
          <w:szCs w:val="28"/>
        </w:rPr>
        <w:lastRenderedPageBreak/>
        <w:t>Нові етапи пенсійної реформи, які проводилися в Україні на початку другого десятиріччя ХХІ-го століття характеризувалися новим юридичним підґрунтям. Нове вітчизняне пенсійне законодавство</w:t>
      </w:r>
      <w:r w:rsidR="00FB2F35" w:rsidRPr="00D705F6">
        <w:rPr>
          <w:rFonts w:ascii="Times New Roman" w:hAnsi="Times New Roman" w:cs="Times New Roman"/>
          <w:sz w:val="28"/>
          <w:szCs w:val="28"/>
        </w:rPr>
        <w:t xml:space="preserve"> включало Закони України: «Про заходи щодо законодавчого забезпечення реформування пенсійної системи», «Про збір та облік єдиного внеску на загальнообов’язкове державне соціальне страхування» </w:t>
      </w:r>
      <w:r w:rsidR="00FB2F35" w:rsidRPr="00D705F6">
        <w:rPr>
          <w:rFonts w:ascii="Times New Roman" w:hAnsi="Times New Roman"/>
          <w:sz w:val="28"/>
          <w:szCs w:val="28"/>
        </w:rPr>
        <w:t>[3;4]. Законодавство встановлює порядок обчислення та сплати пенсійних внесків, а також механізми виплат пенсій, забезпечуючи їх вчасність та адекватність</w:t>
      </w:r>
      <w:r w:rsidR="009741B9" w:rsidRPr="00D705F6">
        <w:rPr>
          <w:rFonts w:ascii="Times New Roman" w:hAnsi="Times New Roman"/>
          <w:sz w:val="28"/>
          <w:szCs w:val="28"/>
        </w:rPr>
        <w:t>. Зазнають змін також встановлення пенсійного віку для жінок і державних службовців. Відповідно, до чинного пенсійного законодавства, на сьогодні, пенсійний вік для жінок і чоловіків зрівнявся і становить 60 років.</w:t>
      </w:r>
    </w:p>
    <w:p w:rsidR="00EC28D7" w:rsidRPr="00D705F6" w:rsidRDefault="00EC28D7" w:rsidP="00EC28D7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5F6">
        <w:rPr>
          <w:rFonts w:ascii="Times New Roman" w:hAnsi="Times New Roman"/>
          <w:sz w:val="28"/>
          <w:szCs w:val="28"/>
        </w:rPr>
        <w:t>Враховуючи вимоги до страхового стажу громадян у нинішніх умовах, їх пенсійний вік буде залежати саме від його тривалості. З</w:t>
      </w:r>
      <w:r w:rsidRPr="00D705F6">
        <w:rPr>
          <w:rFonts w:ascii="Times New Roman" w:hAnsi="Times New Roman" w:cs="Times New Roman"/>
          <w:bCs/>
          <w:sz w:val="28"/>
          <w:szCs w:val="28"/>
        </w:rPr>
        <w:t xml:space="preserve"> 1 січня 2024 року для того, щоб вийти на пенсію в 60 років, громадяни повинні мати в своєму активі, як мінімум, 31 рік страхового стажу</w:t>
      </w:r>
      <w:r w:rsidRPr="00D705F6">
        <w:rPr>
          <w:rFonts w:ascii="Times New Roman" w:hAnsi="Times New Roman" w:cs="Times New Roman"/>
          <w:sz w:val="28"/>
          <w:szCs w:val="28"/>
        </w:rPr>
        <w:t>. Якщо у них, після досягнення 60 років немає достатнього страхового стажу, вони матимуть право на пенсію в 63 роки при наявності стажу не менше 21 року. За наявності страхового стажу від 15 до 20 років, пенсійні виплати призначать в 65 років. Якщо ж у людини менше 15 років страхового стажу, у віці 65 років вона буде мати право на </w:t>
      </w:r>
      <w:r w:rsidRPr="00D705F6">
        <w:rPr>
          <w:rFonts w:ascii="Times New Roman" w:hAnsi="Times New Roman" w:cs="Times New Roman"/>
          <w:bCs/>
          <w:sz w:val="28"/>
          <w:szCs w:val="28"/>
        </w:rPr>
        <w:t>отримання державної соціальної допомоги замість пенсійних виплат</w:t>
      </w:r>
      <w:r w:rsidR="00D705F6" w:rsidRPr="00D705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3829">
        <w:rPr>
          <w:rFonts w:ascii="Times New Roman" w:hAnsi="Times New Roman"/>
          <w:sz w:val="28"/>
          <w:szCs w:val="28"/>
        </w:rPr>
        <w:t>[2].</w:t>
      </w:r>
    </w:p>
    <w:p w:rsidR="00ED346A" w:rsidRPr="00D705F6" w:rsidRDefault="00ED346A" w:rsidP="00ED346A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5F6">
        <w:rPr>
          <w:rFonts w:ascii="Times New Roman" w:hAnsi="Times New Roman" w:cs="Times New Roman"/>
          <w:sz w:val="28"/>
          <w:szCs w:val="28"/>
        </w:rPr>
        <w:t xml:space="preserve">Сучасні реалії в Україні, дія воєнного стану, кризові явища у національній економіці, на ринку праці, потребують вносити відповідні корективи і зміни у вітчизняне пенсійне законодавство. </w:t>
      </w:r>
      <w:r w:rsidRPr="00D705F6">
        <w:rPr>
          <w:rFonts w:ascii="Times New Roman" w:eastAsia="Times New Roman" w:hAnsi="Times New Roman" w:cs="Times New Roman"/>
          <w:sz w:val="28"/>
          <w:szCs w:val="28"/>
        </w:rPr>
        <w:t xml:space="preserve">Правова база пенсійного забезпечення повинна бути гнучкою та адаптивною до змін у соціально-економічних умовах, забезпечуючи стабільність та надійність пенсійної системи. </w:t>
      </w:r>
      <w:r w:rsidRPr="00D705F6">
        <w:rPr>
          <w:rFonts w:ascii="Times New Roman" w:hAnsi="Times New Roman" w:cs="Times New Roman"/>
          <w:sz w:val="28"/>
          <w:szCs w:val="28"/>
        </w:rPr>
        <w:t xml:space="preserve">Розвиток законодавства у сфері пенсійного забезпечення має сприяти формуванню ефективної системи пенсійного страхування, яка дозволить гарантувати захист прав пенсіонерів, включаючи право на </w:t>
      </w:r>
      <w:r w:rsidR="00D705F6" w:rsidRPr="00D705F6">
        <w:rPr>
          <w:rFonts w:ascii="Times New Roman" w:hAnsi="Times New Roman" w:cs="Times New Roman"/>
          <w:sz w:val="28"/>
          <w:szCs w:val="28"/>
        </w:rPr>
        <w:t>гідний рівень пенсійних виплат, доступ до медичного та соціального обслуговування та інші соціальні пільги.</w:t>
      </w:r>
    </w:p>
    <w:p w:rsidR="002B6518" w:rsidRPr="00D705F6" w:rsidRDefault="002B6518" w:rsidP="002E3829">
      <w:pPr>
        <w:spacing w:line="36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E3829" w:rsidRPr="0069667B" w:rsidRDefault="002E3829" w:rsidP="002E38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67B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:rsidR="00D705F6" w:rsidRPr="00D705F6" w:rsidRDefault="00731468" w:rsidP="00D705F6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D705F6">
        <w:rPr>
          <w:rFonts w:ascii="Times New Roman" w:hAnsi="Times New Roman" w:cs="Times New Roman"/>
          <w:spacing w:val="2"/>
          <w:sz w:val="28"/>
        </w:rPr>
        <w:t xml:space="preserve">1. </w:t>
      </w:r>
      <w:r w:rsidR="00D705F6" w:rsidRPr="00D705F6">
        <w:rPr>
          <w:rFonts w:ascii="Times New Roman" w:hAnsi="Times New Roman" w:cs="Times New Roman"/>
          <w:bCs/>
          <w:spacing w:val="-6"/>
          <w:sz w:val="28"/>
          <w:szCs w:val="28"/>
        </w:rPr>
        <w:t>Основні питання реформування п</w:t>
      </w:r>
      <w:r w:rsidR="002E382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енсійної системи в Україні. </w:t>
      </w:r>
      <w:proofErr w:type="spellStart"/>
      <w:r w:rsidR="002E3829">
        <w:rPr>
          <w:rFonts w:ascii="Times New Roman" w:hAnsi="Times New Roman" w:cs="Times New Roman"/>
          <w:bCs/>
          <w:spacing w:val="-6"/>
          <w:sz w:val="28"/>
          <w:szCs w:val="28"/>
        </w:rPr>
        <w:t>Проє</w:t>
      </w:r>
      <w:r w:rsidR="00D705F6" w:rsidRPr="00D705F6">
        <w:rPr>
          <w:rFonts w:ascii="Times New Roman" w:hAnsi="Times New Roman" w:cs="Times New Roman"/>
          <w:bCs/>
          <w:spacing w:val="-6"/>
          <w:sz w:val="28"/>
          <w:szCs w:val="28"/>
        </w:rPr>
        <w:t>кт</w:t>
      </w:r>
      <w:proofErr w:type="spellEnd"/>
      <w:r w:rsidR="00D705F6" w:rsidRPr="00D705F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USAID «Трансформація фінансового сектору». Серпень 2018 р. </w:t>
      </w:r>
      <w:r w:rsidR="00D705F6" w:rsidRPr="00D705F6">
        <w:rPr>
          <w:rFonts w:ascii="Times New Roman" w:hAnsi="Times New Roman" w:cs="Times New Roman"/>
          <w:sz w:val="28"/>
          <w:szCs w:val="28"/>
        </w:rPr>
        <w:t xml:space="preserve">URL: </w:t>
      </w:r>
      <w:r w:rsidR="00D705F6" w:rsidRPr="00D705F6">
        <w:rPr>
          <w:rFonts w:ascii="Times New Roman" w:hAnsi="Times New Roman" w:cs="Times New Roman"/>
          <w:bCs/>
          <w:spacing w:val="-6"/>
          <w:sz w:val="28"/>
          <w:szCs w:val="28"/>
        </w:rPr>
        <w:t>http://www.fst-ua.info/wp-content/uploads/2019/02/Key-Issues-in-Pension-System-Reform-in-Ukraine_Aug2018_UA.pdf</w:t>
      </w:r>
    </w:p>
    <w:p w:rsidR="002B6518" w:rsidRPr="00D705F6" w:rsidRDefault="00D705F6" w:rsidP="002B6518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5F6">
        <w:rPr>
          <w:rFonts w:ascii="Times New Roman" w:hAnsi="Times New Roman" w:cs="Times New Roman"/>
          <w:sz w:val="28"/>
          <w:szCs w:val="28"/>
        </w:rPr>
        <w:t xml:space="preserve">2. </w:t>
      </w:r>
      <w:r w:rsidR="002B6518" w:rsidRPr="00D705F6">
        <w:rPr>
          <w:rFonts w:ascii="Times New Roman" w:hAnsi="Times New Roman" w:cs="Times New Roman"/>
          <w:sz w:val="28"/>
          <w:szCs w:val="28"/>
        </w:rPr>
        <w:t>Закон України «По загальнообов’язкове державне пенсійне страхування».</w:t>
      </w:r>
      <w:r w:rsidR="002B6518" w:rsidRPr="00D705F6">
        <w:rPr>
          <w:rFonts w:ascii="Times New Roman" w:hAnsi="Times New Roman" w:cs="Times New Roman"/>
          <w:snapToGrid w:val="0"/>
          <w:sz w:val="28"/>
          <w:szCs w:val="28"/>
        </w:rPr>
        <w:t xml:space="preserve"> № 1058 – </w:t>
      </w:r>
      <w:r w:rsidR="002B6518" w:rsidRPr="00D705F6">
        <w:rPr>
          <w:rFonts w:ascii="Times New Roman" w:hAnsi="Times New Roman" w:cs="Times New Roman"/>
          <w:snapToGrid w:val="0"/>
          <w:sz w:val="28"/>
          <w:szCs w:val="28"/>
          <w:lang w:val="en-US"/>
        </w:rPr>
        <w:t>IV</w:t>
      </w:r>
      <w:r w:rsidR="002B6518" w:rsidRPr="00D705F6">
        <w:rPr>
          <w:rFonts w:ascii="Times New Roman" w:hAnsi="Times New Roman" w:cs="Times New Roman"/>
          <w:snapToGrid w:val="0"/>
          <w:sz w:val="28"/>
          <w:szCs w:val="28"/>
        </w:rPr>
        <w:t xml:space="preserve"> // ВВР. Від 9.07.2003</w:t>
      </w:r>
      <w:r w:rsidR="002E382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B6518" w:rsidRPr="00D705F6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2E3829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2B6518" w:rsidRPr="00D705F6">
        <w:rPr>
          <w:rFonts w:ascii="Times New Roman" w:hAnsi="Times New Roman" w:cs="Times New Roman"/>
          <w:snapToGrid w:val="0"/>
          <w:sz w:val="28"/>
          <w:szCs w:val="28"/>
        </w:rPr>
        <w:t xml:space="preserve"> [</w:t>
      </w:r>
      <w:r w:rsidR="002B6518" w:rsidRPr="00D705F6">
        <w:rPr>
          <w:rFonts w:ascii="Times New Roman" w:hAnsi="Times New Roman" w:cs="Times New Roman"/>
          <w:sz w:val="28"/>
          <w:szCs w:val="28"/>
        </w:rPr>
        <w:t>Електронний ресурс</w:t>
      </w:r>
      <w:r w:rsidR="002B6518" w:rsidRPr="00D705F6">
        <w:rPr>
          <w:rFonts w:ascii="Times New Roman" w:hAnsi="Times New Roman" w:cs="Times New Roman"/>
          <w:snapToGrid w:val="0"/>
          <w:sz w:val="28"/>
          <w:szCs w:val="28"/>
        </w:rPr>
        <w:t>].</w:t>
      </w:r>
      <w:r w:rsidR="002B6518" w:rsidRPr="00D705F6">
        <w:rPr>
          <w:rFonts w:ascii="Times New Roman" w:hAnsi="Times New Roman" w:cs="Times New Roman"/>
          <w:sz w:val="28"/>
          <w:szCs w:val="28"/>
        </w:rPr>
        <w:t xml:space="preserve"> – Режим доступу: </w:t>
      </w:r>
      <w:hyperlink r:id="rId6" w:history="1">
        <w:r w:rsidR="002B6518" w:rsidRPr="00D705F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2B6518" w:rsidRPr="00D705F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2B6518" w:rsidRPr="00D705F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zakon</w:t>
        </w:r>
        <w:proofErr w:type="spellEnd"/>
        <w:r w:rsidR="002B6518" w:rsidRPr="00D705F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1.</w:t>
        </w:r>
        <w:proofErr w:type="spellStart"/>
        <w:r w:rsidR="002B6518" w:rsidRPr="00D705F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rada</w:t>
        </w:r>
        <w:proofErr w:type="spellEnd"/>
        <w:r w:rsidR="002B6518" w:rsidRPr="00D705F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2B6518" w:rsidRPr="00D705F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="002B6518" w:rsidRPr="00D705F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2B6518" w:rsidRPr="00D705F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ua</w:t>
        </w:r>
        <w:proofErr w:type="spellEnd"/>
      </w:hyperlink>
    </w:p>
    <w:p w:rsidR="002B6518" w:rsidRPr="00D705F6" w:rsidRDefault="00D705F6" w:rsidP="002B6518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705F6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731468" w:rsidRPr="00D705F6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2B6518" w:rsidRPr="00D705F6">
        <w:rPr>
          <w:rFonts w:ascii="Times New Roman" w:hAnsi="Times New Roman" w:cs="Times New Roman"/>
          <w:snapToGrid w:val="0"/>
          <w:sz w:val="28"/>
          <w:szCs w:val="28"/>
        </w:rPr>
        <w:t xml:space="preserve">Закон України «Про недержавне пенсійне забезпечення» № 1057 – </w:t>
      </w:r>
      <w:r w:rsidR="002B6518" w:rsidRPr="00D705F6">
        <w:rPr>
          <w:rFonts w:ascii="Times New Roman" w:hAnsi="Times New Roman" w:cs="Times New Roman"/>
          <w:snapToGrid w:val="0"/>
          <w:sz w:val="28"/>
          <w:szCs w:val="28"/>
          <w:lang w:val="en-US"/>
        </w:rPr>
        <w:t>IV</w:t>
      </w:r>
      <w:r w:rsidR="002B6518" w:rsidRPr="00D705F6">
        <w:rPr>
          <w:rFonts w:ascii="Times New Roman" w:hAnsi="Times New Roman" w:cs="Times New Roman"/>
          <w:snapToGrid w:val="0"/>
          <w:sz w:val="28"/>
          <w:szCs w:val="28"/>
        </w:rPr>
        <w:t>// ВВР. Від 9.07.2003</w:t>
      </w:r>
      <w:r w:rsidR="002E3829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="002B6518" w:rsidRPr="00D705F6">
        <w:rPr>
          <w:rFonts w:ascii="Times New Roman" w:hAnsi="Times New Roman" w:cs="Times New Roman"/>
          <w:snapToGrid w:val="0"/>
          <w:sz w:val="28"/>
          <w:szCs w:val="28"/>
        </w:rPr>
        <w:t>р. [</w:t>
      </w:r>
      <w:r w:rsidR="002B6518" w:rsidRPr="00D705F6">
        <w:rPr>
          <w:rFonts w:ascii="Times New Roman" w:hAnsi="Times New Roman" w:cs="Times New Roman"/>
          <w:sz w:val="28"/>
          <w:szCs w:val="28"/>
        </w:rPr>
        <w:t>Електронний ресурс</w:t>
      </w:r>
      <w:r w:rsidR="002B6518" w:rsidRPr="00D705F6">
        <w:rPr>
          <w:rFonts w:ascii="Times New Roman" w:hAnsi="Times New Roman" w:cs="Times New Roman"/>
          <w:snapToGrid w:val="0"/>
          <w:sz w:val="28"/>
          <w:szCs w:val="28"/>
        </w:rPr>
        <w:t>]</w:t>
      </w:r>
      <w:r w:rsidR="002B6518" w:rsidRPr="00D705F6">
        <w:rPr>
          <w:rFonts w:ascii="Times New Roman" w:hAnsi="Times New Roman" w:cs="Times New Roman"/>
          <w:sz w:val="28"/>
          <w:szCs w:val="28"/>
        </w:rPr>
        <w:t xml:space="preserve"> –</w:t>
      </w:r>
      <w:r w:rsidR="002B6518" w:rsidRPr="00D705F6">
        <w:rPr>
          <w:sz w:val="28"/>
          <w:szCs w:val="28"/>
        </w:rPr>
        <w:t xml:space="preserve"> </w:t>
      </w:r>
      <w:r w:rsidR="002B6518" w:rsidRPr="00D705F6">
        <w:rPr>
          <w:rFonts w:ascii="Times New Roman" w:hAnsi="Times New Roman" w:cs="Times New Roman"/>
          <w:sz w:val="28"/>
          <w:szCs w:val="28"/>
        </w:rPr>
        <w:t>Режим доступу:</w:t>
      </w:r>
      <w:r w:rsidR="002B6518" w:rsidRPr="00D705F6">
        <w:rPr>
          <w:sz w:val="28"/>
          <w:szCs w:val="28"/>
        </w:rPr>
        <w:t xml:space="preserve"> </w:t>
      </w:r>
      <w:r w:rsidR="002B6518" w:rsidRPr="00D705F6">
        <w:rPr>
          <w:rFonts w:ascii="Times New Roman" w:hAnsi="Times New Roman" w:cs="Times New Roman"/>
          <w:sz w:val="28"/>
          <w:szCs w:val="28"/>
        </w:rPr>
        <w:t xml:space="preserve"> </w:t>
      </w:r>
      <w:r w:rsidR="002B6518" w:rsidRPr="00D705F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B6518" w:rsidRPr="00D705F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2B6518" w:rsidRPr="00D705F6">
        <w:rPr>
          <w:rFonts w:ascii="Times New Roman" w:hAnsi="Times New Roman" w:cs="Times New Roman"/>
          <w:sz w:val="28"/>
          <w:szCs w:val="28"/>
          <w:lang w:val="en-US"/>
        </w:rPr>
        <w:t>zakon</w:t>
      </w:r>
      <w:proofErr w:type="spellEnd"/>
      <w:r w:rsidR="002B6518" w:rsidRPr="00D705F6">
        <w:rPr>
          <w:rFonts w:ascii="Times New Roman" w:hAnsi="Times New Roman" w:cs="Times New Roman"/>
          <w:sz w:val="28"/>
          <w:szCs w:val="28"/>
        </w:rPr>
        <w:t>1.</w:t>
      </w:r>
      <w:proofErr w:type="spellStart"/>
      <w:r w:rsidR="002B6518" w:rsidRPr="00D705F6">
        <w:rPr>
          <w:rFonts w:ascii="Times New Roman" w:hAnsi="Times New Roman" w:cs="Times New Roman"/>
          <w:sz w:val="28"/>
          <w:szCs w:val="28"/>
          <w:lang w:val="en-US"/>
        </w:rPr>
        <w:t>rada</w:t>
      </w:r>
      <w:proofErr w:type="spellEnd"/>
      <w:r w:rsidR="002B6518" w:rsidRPr="00D705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B6518" w:rsidRPr="00D705F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2B6518" w:rsidRPr="00D705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B6518" w:rsidRPr="00D705F6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</w:p>
    <w:p w:rsidR="002B6518" w:rsidRPr="00D705F6" w:rsidRDefault="00D705F6" w:rsidP="002B6518">
      <w:pPr>
        <w:spacing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5F6">
        <w:rPr>
          <w:rFonts w:ascii="Times New Roman" w:hAnsi="Times New Roman" w:cs="Times New Roman"/>
          <w:sz w:val="28"/>
          <w:szCs w:val="28"/>
        </w:rPr>
        <w:t>4</w:t>
      </w:r>
      <w:r w:rsidR="00731468" w:rsidRPr="00D705F6">
        <w:rPr>
          <w:rFonts w:ascii="Times New Roman" w:hAnsi="Times New Roman" w:cs="Times New Roman"/>
          <w:sz w:val="28"/>
          <w:szCs w:val="28"/>
        </w:rPr>
        <w:t xml:space="preserve">. </w:t>
      </w:r>
      <w:r w:rsidR="002B6518" w:rsidRPr="00D705F6">
        <w:rPr>
          <w:rFonts w:ascii="Times New Roman" w:hAnsi="Times New Roman" w:cs="Times New Roman"/>
          <w:sz w:val="28"/>
          <w:szCs w:val="28"/>
        </w:rPr>
        <w:t>Закон України «Про заходи щодо законодавчого забезпечення реформування пенсійної системи»</w:t>
      </w:r>
      <w:r w:rsidR="002E3829">
        <w:rPr>
          <w:rFonts w:ascii="Times New Roman" w:hAnsi="Times New Roman" w:cs="Times New Roman"/>
          <w:sz w:val="28"/>
          <w:szCs w:val="28"/>
        </w:rPr>
        <w:t>.</w:t>
      </w:r>
      <w:r w:rsidR="002B6518" w:rsidRPr="00D705F6">
        <w:rPr>
          <w:rFonts w:ascii="Times New Roman" w:hAnsi="Times New Roman" w:cs="Times New Roman"/>
          <w:sz w:val="28"/>
          <w:szCs w:val="28"/>
        </w:rPr>
        <w:t xml:space="preserve"> №</w:t>
      </w:r>
      <w:r w:rsidR="002B6518" w:rsidRPr="00D705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6518" w:rsidRPr="00D705F6">
        <w:rPr>
          <w:rFonts w:ascii="Times New Roman" w:hAnsi="Times New Roman" w:cs="Times New Roman"/>
          <w:sz w:val="28"/>
          <w:szCs w:val="28"/>
        </w:rPr>
        <w:t>3668 – VI. Від 8.07.2011</w:t>
      </w:r>
      <w:r w:rsidR="002B6518" w:rsidRPr="00D705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6518" w:rsidRPr="00D705F6">
        <w:rPr>
          <w:rFonts w:ascii="Times New Roman" w:hAnsi="Times New Roman" w:cs="Times New Roman"/>
          <w:sz w:val="28"/>
          <w:szCs w:val="28"/>
        </w:rPr>
        <w:t xml:space="preserve">р. </w:t>
      </w:r>
      <w:r w:rsidR="002B6518" w:rsidRPr="00D705F6">
        <w:rPr>
          <w:rFonts w:ascii="Times New Roman" w:hAnsi="Times New Roman" w:cs="Times New Roman"/>
          <w:snapToGrid w:val="0"/>
          <w:sz w:val="28"/>
          <w:szCs w:val="28"/>
        </w:rPr>
        <w:t>[</w:t>
      </w:r>
      <w:r w:rsidR="002B6518" w:rsidRPr="00D705F6">
        <w:rPr>
          <w:rFonts w:ascii="Times New Roman" w:hAnsi="Times New Roman" w:cs="Times New Roman"/>
          <w:sz w:val="28"/>
          <w:szCs w:val="28"/>
        </w:rPr>
        <w:t>Електронний ресурс</w:t>
      </w:r>
      <w:r w:rsidR="002B6518" w:rsidRPr="00D705F6">
        <w:rPr>
          <w:rFonts w:ascii="Times New Roman" w:hAnsi="Times New Roman" w:cs="Times New Roman"/>
          <w:snapToGrid w:val="0"/>
          <w:sz w:val="28"/>
          <w:szCs w:val="28"/>
        </w:rPr>
        <w:t>]</w:t>
      </w:r>
      <w:r w:rsidR="002B6518" w:rsidRPr="00D705F6">
        <w:rPr>
          <w:rFonts w:ascii="Times New Roman" w:hAnsi="Times New Roman" w:cs="Times New Roman"/>
          <w:sz w:val="28"/>
          <w:szCs w:val="28"/>
        </w:rPr>
        <w:t xml:space="preserve">. – Режим доступу: </w:t>
      </w:r>
      <w:hyperlink r:id="rId7" w:history="1">
        <w:r w:rsidR="002B6518" w:rsidRPr="00D705F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2B6518" w:rsidRPr="00D705F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2B6518" w:rsidRPr="00D705F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zakon</w:t>
        </w:r>
        <w:proofErr w:type="spellEnd"/>
        <w:r w:rsidR="002B6518" w:rsidRPr="00D705F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2.</w:t>
        </w:r>
        <w:proofErr w:type="spellStart"/>
        <w:r w:rsidR="002B6518" w:rsidRPr="00D705F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rada</w:t>
        </w:r>
        <w:proofErr w:type="spellEnd"/>
        <w:r w:rsidR="002B6518" w:rsidRPr="00D705F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2B6518" w:rsidRPr="00D705F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="002B6518" w:rsidRPr="00D705F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2B6518" w:rsidRPr="00D705F6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ua</w:t>
        </w:r>
        <w:proofErr w:type="spellEnd"/>
      </w:hyperlink>
    </w:p>
    <w:p w:rsidR="00D705F6" w:rsidRPr="00D705F6" w:rsidRDefault="00D705F6" w:rsidP="00D705F6">
      <w:pPr>
        <w:spacing w:line="360" w:lineRule="auto"/>
        <w:ind w:left="-567" w:right="283" w:firstLine="567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D705F6">
        <w:rPr>
          <w:rFonts w:ascii="Times New Roman" w:hAnsi="Times New Roman" w:cs="Times New Roman"/>
          <w:sz w:val="28"/>
          <w:szCs w:val="28"/>
        </w:rPr>
        <w:t xml:space="preserve">5. </w:t>
      </w:r>
      <w:r w:rsidR="00191DBE" w:rsidRPr="00D705F6">
        <w:rPr>
          <w:rFonts w:ascii="Times New Roman" w:hAnsi="Times New Roman" w:cs="Times New Roman"/>
          <w:sz w:val="28"/>
          <w:szCs w:val="28"/>
        </w:rPr>
        <w:t xml:space="preserve">Закон України «Про збір та облік єдиного внеску на загальнообов’язкове державне соціальне страхування» від 8 липня 2010 р. № 2464-VІ, 2010р. // </w:t>
      </w:r>
      <w:hyperlink r:id="rId8" w:history="1">
        <w:r w:rsidR="00191DBE" w:rsidRPr="00D705F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www.rada.gov.ua</w:t>
        </w:r>
      </w:hyperlink>
    </w:p>
    <w:p w:rsidR="00D705F6" w:rsidRPr="00D705F6" w:rsidRDefault="00D705F6" w:rsidP="002E3829">
      <w:pPr>
        <w:spacing w:line="360" w:lineRule="auto"/>
        <w:ind w:left="-567" w:right="283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bookmarkStart w:id="1" w:name="_GoBack"/>
      <w:bookmarkEnd w:id="1"/>
    </w:p>
    <w:p w:rsidR="000F2B6F" w:rsidRPr="00D705F6" w:rsidRDefault="000F2B6F" w:rsidP="000F2B6F">
      <w:pPr>
        <w:tabs>
          <w:tab w:val="left" w:pos="-567"/>
          <w:tab w:val="left" w:pos="1122"/>
          <w:tab w:val="left" w:pos="8789"/>
          <w:tab w:val="left" w:pos="9072"/>
        </w:tabs>
        <w:spacing w:before="1" w:line="360" w:lineRule="auto"/>
        <w:ind w:right="28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sectPr w:rsidR="000F2B6F" w:rsidRPr="00D705F6" w:rsidSect="003E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115"/>
    <w:multiLevelType w:val="hybridMultilevel"/>
    <w:tmpl w:val="66227D16"/>
    <w:lvl w:ilvl="0" w:tplc="0EC06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4302F99"/>
    <w:multiLevelType w:val="hybridMultilevel"/>
    <w:tmpl w:val="B6685544"/>
    <w:lvl w:ilvl="0" w:tplc="6D247E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AF6BE6"/>
    <w:multiLevelType w:val="multilevel"/>
    <w:tmpl w:val="389C4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676E9B"/>
    <w:multiLevelType w:val="hybridMultilevel"/>
    <w:tmpl w:val="6284C83A"/>
    <w:lvl w:ilvl="0" w:tplc="FA80C37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92CAD"/>
    <w:multiLevelType w:val="hybridMultilevel"/>
    <w:tmpl w:val="6902E3C6"/>
    <w:lvl w:ilvl="0" w:tplc="BCEA07CC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4A82E16"/>
    <w:multiLevelType w:val="hybridMultilevel"/>
    <w:tmpl w:val="6902E3C6"/>
    <w:lvl w:ilvl="0" w:tplc="BCEA07CC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4A130E4"/>
    <w:multiLevelType w:val="hybridMultilevel"/>
    <w:tmpl w:val="156C1B0C"/>
    <w:lvl w:ilvl="0" w:tplc="DC1E27F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6D12B04"/>
    <w:multiLevelType w:val="multilevel"/>
    <w:tmpl w:val="CEAC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D93B31"/>
    <w:multiLevelType w:val="hybridMultilevel"/>
    <w:tmpl w:val="66227D16"/>
    <w:lvl w:ilvl="0" w:tplc="0EC060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C7284"/>
    <w:rsid w:val="00000C49"/>
    <w:rsid w:val="00034D98"/>
    <w:rsid w:val="00061E50"/>
    <w:rsid w:val="0007411D"/>
    <w:rsid w:val="00075006"/>
    <w:rsid w:val="00075969"/>
    <w:rsid w:val="000804FE"/>
    <w:rsid w:val="00094CC8"/>
    <w:rsid w:val="000A00D3"/>
    <w:rsid w:val="000E3E01"/>
    <w:rsid w:val="000F2B6F"/>
    <w:rsid w:val="001172F4"/>
    <w:rsid w:val="0018397F"/>
    <w:rsid w:val="00191DBE"/>
    <w:rsid w:val="001A450D"/>
    <w:rsid w:val="001B169D"/>
    <w:rsid w:val="001B6752"/>
    <w:rsid w:val="001D2AF8"/>
    <w:rsid w:val="001E6A8C"/>
    <w:rsid w:val="001F216F"/>
    <w:rsid w:val="00252BDC"/>
    <w:rsid w:val="002614F6"/>
    <w:rsid w:val="002674B3"/>
    <w:rsid w:val="00285C37"/>
    <w:rsid w:val="00290407"/>
    <w:rsid w:val="002905F7"/>
    <w:rsid w:val="00295F40"/>
    <w:rsid w:val="002B5892"/>
    <w:rsid w:val="002B6518"/>
    <w:rsid w:val="002E3829"/>
    <w:rsid w:val="002E4E1F"/>
    <w:rsid w:val="003645BC"/>
    <w:rsid w:val="00397C18"/>
    <w:rsid w:val="003A7938"/>
    <w:rsid w:val="003B3D88"/>
    <w:rsid w:val="003E3537"/>
    <w:rsid w:val="003F58A9"/>
    <w:rsid w:val="00416AF9"/>
    <w:rsid w:val="00417451"/>
    <w:rsid w:val="0049090F"/>
    <w:rsid w:val="0052324C"/>
    <w:rsid w:val="005260A6"/>
    <w:rsid w:val="005449D1"/>
    <w:rsid w:val="005548C7"/>
    <w:rsid w:val="00554DA5"/>
    <w:rsid w:val="00567ED1"/>
    <w:rsid w:val="005772E9"/>
    <w:rsid w:val="005C3F66"/>
    <w:rsid w:val="005E69D6"/>
    <w:rsid w:val="005E6E76"/>
    <w:rsid w:val="005F2EAA"/>
    <w:rsid w:val="006226CB"/>
    <w:rsid w:val="00656E98"/>
    <w:rsid w:val="00696593"/>
    <w:rsid w:val="006B0E6F"/>
    <w:rsid w:val="006B318E"/>
    <w:rsid w:val="006E7324"/>
    <w:rsid w:val="00701537"/>
    <w:rsid w:val="007237F2"/>
    <w:rsid w:val="00731468"/>
    <w:rsid w:val="00747872"/>
    <w:rsid w:val="00763370"/>
    <w:rsid w:val="007635A8"/>
    <w:rsid w:val="007767C8"/>
    <w:rsid w:val="00793567"/>
    <w:rsid w:val="007A759A"/>
    <w:rsid w:val="007B1F27"/>
    <w:rsid w:val="007C21F7"/>
    <w:rsid w:val="007D2567"/>
    <w:rsid w:val="007D2C28"/>
    <w:rsid w:val="0080326F"/>
    <w:rsid w:val="00814176"/>
    <w:rsid w:val="00866F0B"/>
    <w:rsid w:val="00890565"/>
    <w:rsid w:val="00925B3E"/>
    <w:rsid w:val="009741B9"/>
    <w:rsid w:val="00974919"/>
    <w:rsid w:val="0099040D"/>
    <w:rsid w:val="00994A9F"/>
    <w:rsid w:val="009A10EC"/>
    <w:rsid w:val="009D05F0"/>
    <w:rsid w:val="009F64E3"/>
    <w:rsid w:val="00A303BA"/>
    <w:rsid w:val="00A365F7"/>
    <w:rsid w:val="00A41A96"/>
    <w:rsid w:val="00A43D52"/>
    <w:rsid w:val="00A54866"/>
    <w:rsid w:val="00A74D35"/>
    <w:rsid w:val="00AA5A8F"/>
    <w:rsid w:val="00AC7284"/>
    <w:rsid w:val="00AD5041"/>
    <w:rsid w:val="00AD7E10"/>
    <w:rsid w:val="00AE446F"/>
    <w:rsid w:val="00B0621E"/>
    <w:rsid w:val="00B536A2"/>
    <w:rsid w:val="00B62B04"/>
    <w:rsid w:val="00B82BA8"/>
    <w:rsid w:val="00B8635D"/>
    <w:rsid w:val="00BB73AD"/>
    <w:rsid w:val="00BF6DEE"/>
    <w:rsid w:val="00BF7572"/>
    <w:rsid w:val="00BF7FEC"/>
    <w:rsid w:val="00C20F07"/>
    <w:rsid w:val="00C24A23"/>
    <w:rsid w:val="00C5434E"/>
    <w:rsid w:val="00C732A6"/>
    <w:rsid w:val="00C9005E"/>
    <w:rsid w:val="00C920E9"/>
    <w:rsid w:val="00CF40D7"/>
    <w:rsid w:val="00D0435E"/>
    <w:rsid w:val="00D15ADD"/>
    <w:rsid w:val="00D168FA"/>
    <w:rsid w:val="00D34D66"/>
    <w:rsid w:val="00D705F6"/>
    <w:rsid w:val="00DA193F"/>
    <w:rsid w:val="00DB4F35"/>
    <w:rsid w:val="00DD6902"/>
    <w:rsid w:val="00E02188"/>
    <w:rsid w:val="00E75500"/>
    <w:rsid w:val="00E77407"/>
    <w:rsid w:val="00E964E8"/>
    <w:rsid w:val="00EC28D7"/>
    <w:rsid w:val="00EC2FA6"/>
    <w:rsid w:val="00EC6AF1"/>
    <w:rsid w:val="00ED346A"/>
    <w:rsid w:val="00F02B67"/>
    <w:rsid w:val="00F2380A"/>
    <w:rsid w:val="00F46C44"/>
    <w:rsid w:val="00F65D8C"/>
    <w:rsid w:val="00F77977"/>
    <w:rsid w:val="00FA222B"/>
    <w:rsid w:val="00FB2F35"/>
    <w:rsid w:val="00FC4898"/>
    <w:rsid w:val="00FC4CDF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DECC"/>
  <w15:docId w15:val="{20569C02-08DD-4E78-B7CB-CE61869F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537"/>
  </w:style>
  <w:style w:type="paragraph" w:styleId="1">
    <w:name w:val="heading 1"/>
    <w:basedOn w:val="a"/>
    <w:next w:val="a"/>
    <w:link w:val="10"/>
    <w:qFormat/>
    <w:rsid w:val="001A45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1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5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1A450D"/>
    <w:pPr>
      <w:widowControl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4">
    <w:name w:val="footnote text"/>
    <w:basedOn w:val="a"/>
    <w:link w:val="a5"/>
    <w:unhideWhenUsed/>
    <w:rsid w:val="00554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5548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rsid w:val="006E7324"/>
    <w:rPr>
      <w:color w:val="0000FF"/>
      <w:u w:val="single"/>
    </w:rPr>
  </w:style>
  <w:style w:type="paragraph" w:customStyle="1" w:styleId="11">
    <w:name w:val="Обычный1"/>
    <w:rsid w:val="000804FE"/>
    <w:pPr>
      <w:spacing w:after="0"/>
    </w:pPr>
    <w:rPr>
      <w:rFonts w:ascii="Arial" w:eastAsia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6B31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 Indent"/>
    <w:basedOn w:val="a"/>
    <w:link w:val="a8"/>
    <w:rsid w:val="000F2B6F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0F2B6F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FR1">
    <w:name w:val="FR1"/>
    <w:rsid w:val="002B6518"/>
    <w:pPr>
      <w:widowControl w:val="0"/>
      <w:autoSpaceDE w:val="0"/>
      <w:autoSpaceDN w:val="0"/>
      <w:adjustRightInd w:val="0"/>
      <w:spacing w:before="120" w:after="0" w:line="240" w:lineRule="auto"/>
      <w:ind w:left="528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D1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23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26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8343789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835382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30690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1578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36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6127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5467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1151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1261024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51501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26010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2235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2017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9157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389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036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5261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50259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1245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2638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8568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a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2.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1.rada.gov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E762-81A9-4E41-B1C8-C3AA4BAB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dcterms:created xsi:type="dcterms:W3CDTF">2015-09-08T18:37:00Z</dcterms:created>
  <dcterms:modified xsi:type="dcterms:W3CDTF">2024-04-14T22:51:00Z</dcterms:modified>
</cp:coreProperties>
</file>