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F9B0" w14:textId="407EFEAB" w:rsidR="00916279" w:rsidRPr="00916279" w:rsidRDefault="00916279" w:rsidP="008A0FEE">
      <w:pPr>
        <w:pStyle w:val="a3"/>
        <w:tabs>
          <w:tab w:val="left" w:pos="851"/>
        </w:tabs>
        <w:spacing w:before="0" w:beforeAutospacing="0" w:after="0" w:afterAutospacing="0"/>
        <w:jc w:val="right"/>
        <w:rPr>
          <w:b/>
          <w:shd w:val="clear" w:color="auto" w:fill="FFFFFF"/>
        </w:rPr>
      </w:pPr>
      <w:r w:rsidRPr="00916279">
        <w:rPr>
          <w:b/>
          <w:shd w:val="clear" w:color="auto" w:fill="FFFFFF"/>
        </w:rPr>
        <w:t>Світлана МАХИНЯ</w:t>
      </w:r>
      <w:r w:rsidR="00E14803" w:rsidRPr="00E14803">
        <w:rPr>
          <w:shd w:val="clear" w:color="auto" w:fill="FFFFFF"/>
        </w:rPr>
        <w:t>,</w:t>
      </w:r>
    </w:p>
    <w:p w14:paraId="460EAF14" w14:textId="68DEF65C" w:rsidR="00916279" w:rsidRPr="00916279" w:rsidRDefault="00497A2E" w:rsidP="008A0FEE">
      <w:pPr>
        <w:pStyle w:val="a3"/>
        <w:tabs>
          <w:tab w:val="left" w:pos="851"/>
        </w:tabs>
        <w:spacing w:before="0" w:beforeAutospacing="0" w:after="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t>аспірантка</w:t>
      </w:r>
      <w:r w:rsidR="00916279" w:rsidRPr="00916279">
        <w:rPr>
          <w:shd w:val="clear" w:color="auto" w:fill="FFFFFF"/>
        </w:rPr>
        <w:t xml:space="preserve"> </w:t>
      </w:r>
      <w:r w:rsidR="00916279" w:rsidRPr="00916279">
        <w:t>спеціальності «Економіка»</w:t>
      </w:r>
    </w:p>
    <w:p w14:paraId="3C5F5973" w14:textId="7C6F1B04" w:rsidR="00916279" w:rsidRPr="00916279" w:rsidRDefault="00916279" w:rsidP="008A0FEE">
      <w:pPr>
        <w:tabs>
          <w:tab w:val="left" w:pos="1035"/>
        </w:tabs>
        <w:jc w:val="right"/>
        <w:rPr>
          <w:rFonts w:eastAsia="Symbol"/>
        </w:rPr>
      </w:pPr>
      <w:r w:rsidRPr="00916279">
        <w:rPr>
          <w:rFonts w:eastAsia="Symbol"/>
        </w:rPr>
        <w:t xml:space="preserve">Науковий керівник: </w:t>
      </w:r>
      <w:r w:rsidRPr="00916279">
        <w:rPr>
          <w:rFonts w:eastAsia="Symbol"/>
          <w:b/>
        </w:rPr>
        <w:t>Оксана БЯЛКОВСЬКА</w:t>
      </w:r>
      <w:r w:rsidRPr="00916279">
        <w:rPr>
          <w:rFonts w:eastAsia="Symbol"/>
        </w:rPr>
        <w:t>,</w:t>
      </w:r>
    </w:p>
    <w:p w14:paraId="62505FFB" w14:textId="0BF48700" w:rsidR="00E14803" w:rsidRDefault="00916279" w:rsidP="008A0FEE">
      <w:pPr>
        <w:tabs>
          <w:tab w:val="left" w:pos="1035"/>
        </w:tabs>
        <w:jc w:val="right"/>
        <w:rPr>
          <w:rFonts w:eastAsia="Symbol"/>
        </w:rPr>
      </w:pPr>
      <w:r w:rsidRPr="00916279">
        <w:rPr>
          <w:rFonts w:eastAsia="Symbol"/>
        </w:rPr>
        <w:t xml:space="preserve">д-р. </w:t>
      </w:r>
      <w:proofErr w:type="spellStart"/>
      <w:r w:rsidRPr="00916279">
        <w:rPr>
          <w:rFonts w:eastAsia="Symbol"/>
        </w:rPr>
        <w:t>екон</w:t>
      </w:r>
      <w:proofErr w:type="spellEnd"/>
      <w:r w:rsidRPr="00916279">
        <w:rPr>
          <w:rFonts w:eastAsia="Symbol"/>
        </w:rPr>
        <w:t xml:space="preserve">. н., професор кафедри </w:t>
      </w:r>
      <w:r w:rsidR="004111C9">
        <w:rPr>
          <w:rFonts w:eastAsia="Symbol"/>
        </w:rPr>
        <w:t>менеджменту, публічного</w:t>
      </w:r>
      <w:bookmarkStart w:id="0" w:name="_GoBack"/>
      <w:bookmarkEnd w:id="0"/>
    </w:p>
    <w:p w14:paraId="30F759AF" w14:textId="0D146416" w:rsidR="00916279" w:rsidRPr="00916279" w:rsidRDefault="00916279" w:rsidP="008A0FEE">
      <w:pPr>
        <w:tabs>
          <w:tab w:val="left" w:pos="1035"/>
        </w:tabs>
        <w:jc w:val="right"/>
        <w:rPr>
          <w:rFonts w:eastAsia="Symbol"/>
        </w:rPr>
      </w:pPr>
      <w:r>
        <w:rPr>
          <w:rFonts w:eastAsia="Symbol"/>
        </w:rPr>
        <w:t>управління та адміністрування</w:t>
      </w:r>
    </w:p>
    <w:p w14:paraId="1C385E4D" w14:textId="77777777" w:rsidR="00916279" w:rsidRPr="00916279" w:rsidRDefault="00916279" w:rsidP="008A0FEE">
      <w:pPr>
        <w:tabs>
          <w:tab w:val="left" w:pos="1035"/>
        </w:tabs>
        <w:jc w:val="right"/>
        <w:rPr>
          <w:rFonts w:eastAsia="Symbol"/>
        </w:rPr>
      </w:pPr>
      <w:r w:rsidRPr="00916279">
        <w:rPr>
          <w:rFonts w:eastAsia="Symbol"/>
        </w:rPr>
        <w:t>Заклад вищої освіти «Подільський державний університет»,</w:t>
      </w:r>
    </w:p>
    <w:p w14:paraId="7D779B6A" w14:textId="5262C01A" w:rsidR="00916279" w:rsidRDefault="00916279" w:rsidP="008A0FEE">
      <w:pPr>
        <w:ind w:firstLine="567"/>
        <w:contextualSpacing/>
        <w:jc w:val="right"/>
        <w:rPr>
          <w:rFonts w:eastAsia="Symbol"/>
        </w:rPr>
      </w:pPr>
      <w:r w:rsidRPr="00916279">
        <w:rPr>
          <w:rFonts w:eastAsia="Symbol"/>
        </w:rPr>
        <w:t>м. Кам’янець-Подільський</w:t>
      </w:r>
    </w:p>
    <w:p w14:paraId="317086B4" w14:textId="77777777" w:rsidR="00916279" w:rsidRPr="00E14803" w:rsidRDefault="00916279" w:rsidP="008A0FEE">
      <w:pPr>
        <w:spacing w:line="360" w:lineRule="auto"/>
        <w:ind w:firstLine="567"/>
        <w:contextualSpacing/>
        <w:jc w:val="right"/>
        <w:rPr>
          <w:bCs/>
        </w:rPr>
      </w:pPr>
    </w:p>
    <w:p w14:paraId="64B09C5E" w14:textId="02808FD4" w:rsidR="0091307D" w:rsidRDefault="00916279" w:rsidP="008A0FEE">
      <w:pPr>
        <w:spacing w:line="360" w:lineRule="auto"/>
        <w:ind w:firstLine="567"/>
        <w:contextualSpacing/>
        <w:jc w:val="center"/>
        <w:rPr>
          <w:b/>
          <w:bCs/>
        </w:rPr>
      </w:pPr>
      <w:r w:rsidRPr="00916279">
        <w:rPr>
          <w:b/>
          <w:bCs/>
        </w:rPr>
        <w:t>В</w:t>
      </w:r>
      <w:r w:rsidR="00E14803">
        <w:rPr>
          <w:b/>
          <w:bCs/>
        </w:rPr>
        <w:t>ПЛИВ МІГРАЦІЙНИХ ПРОЦЕСІВ НА СІЛЬСЬКІ ТЕРИТОРІЇ ТА РОЛЬ СІЛЬСЬКОГО ТУРИЗМУ</w:t>
      </w:r>
    </w:p>
    <w:p w14:paraId="15A4EECF" w14:textId="77777777" w:rsidR="00E14803" w:rsidRDefault="00E14803" w:rsidP="00E14803">
      <w:pPr>
        <w:spacing w:line="360" w:lineRule="auto"/>
        <w:contextualSpacing/>
        <w:jc w:val="center"/>
      </w:pPr>
    </w:p>
    <w:p w14:paraId="74DA0D8B" w14:textId="26D6C439" w:rsidR="0099470C" w:rsidRDefault="00633501" w:rsidP="00916279">
      <w:pPr>
        <w:spacing w:line="360" w:lineRule="auto"/>
        <w:ind w:firstLine="567"/>
        <w:contextualSpacing/>
        <w:jc w:val="both"/>
      </w:pPr>
      <w:r>
        <w:t>Внутрішні міграційні процеси в Україні характеризуються природ</w:t>
      </w:r>
      <w:r>
        <w:softHyphen/>
        <w:t xml:space="preserve">ними міграціями населення, а також міграціями, спричиненими техногенними катастрофами, </w:t>
      </w:r>
      <w:r w:rsidR="00CF32AA">
        <w:t xml:space="preserve">воєнними діями, </w:t>
      </w:r>
      <w:r>
        <w:t>стихійними лихами, несприятливою екологічною обстановкою, (аварія на ЧАЕС, повені, шкідливе промислове виробництво тощо), а також такими, які викликані перерозподілом внутрішніх ринків праці. Найбільш значними є міграції з села до міста</w:t>
      </w:r>
      <w:r w:rsidR="002C2422">
        <w:t xml:space="preserve">, що </w:t>
      </w:r>
      <w:r>
        <w:t xml:space="preserve">характеризуються </w:t>
      </w:r>
      <w:r w:rsidR="002C2422">
        <w:t>відтоком</w:t>
      </w:r>
      <w:r>
        <w:t xml:space="preserve"> найбільш активного населення </w:t>
      </w:r>
      <w:r w:rsidR="002C2422">
        <w:t xml:space="preserve">у вікових межах 17-60 років </w:t>
      </w:r>
      <w:r>
        <w:t xml:space="preserve">до міст, з метою реалізувати свої прагнення у пошуках гарантовано оплачуваної роботи, здобуття освіти, підвищення фахової кваліфікації. </w:t>
      </w:r>
      <w:r w:rsidR="0099470C">
        <w:t>Міграції з села до міста в Україні все більше втрачають ознаки сезонних або маятникових (хоч і довготривалого, але все ж тимчасового періоду), а набувають характер незворотних стаціонарних переміщень</w:t>
      </w:r>
      <w:r w:rsidR="00721867">
        <w:t xml:space="preserve"> </w:t>
      </w:r>
      <w:r w:rsidR="00721867" w:rsidRPr="00721867">
        <w:rPr>
          <w:lang w:val="ru-RU"/>
        </w:rPr>
        <w:t>[</w:t>
      </w:r>
      <w:r w:rsidR="00721867">
        <w:rPr>
          <w:lang w:val="ru-RU"/>
        </w:rPr>
        <w:t>2</w:t>
      </w:r>
      <w:r w:rsidR="00721867" w:rsidRPr="00721867">
        <w:rPr>
          <w:lang w:val="ru-RU"/>
        </w:rPr>
        <w:t>]</w:t>
      </w:r>
      <w:r w:rsidR="00E14803">
        <w:t>.</w:t>
      </w:r>
    </w:p>
    <w:p w14:paraId="4562D354" w14:textId="503E6E86" w:rsidR="00310075" w:rsidRDefault="00310075" w:rsidP="00916279">
      <w:pPr>
        <w:spacing w:line="360" w:lineRule="auto"/>
        <w:ind w:firstLine="567"/>
        <w:contextualSpacing/>
        <w:jc w:val="both"/>
      </w:pPr>
      <w:r>
        <w:t>На рис</w:t>
      </w:r>
      <w:r w:rsidRPr="00310075">
        <w:t xml:space="preserve">. 1 зображено у динаміці </w:t>
      </w:r>
      <w:r w:rsidR="00A2681B" w:rsidRPr="00310075">
        <w:t xml:space="preserve">обсяги стаціонарної міграції </w:t>
      </w:r>
      <w:r w:rsidRPr="00310075">
        <w:t xml:space="preserve">в Україні </w:t>
      </w:r>
      <w:r w:rsidR="00A2681B" w:rsidRPr="00310075">
        <w:t xml:space="preserve">із сільської </w:t>
      </w:r>
      <w:r w:rsidRPr="00310075">
        <w:t xml:space="preserve">місцевості </w:t>
      </w:r>
      <w:r w:rsidR="00A2681B" w:rsidRPr="00310075">
        <w:t xml:space="preserve">до міської. </w:t>
      </w:r>
      <w:r w:rsidRPr="00310075">
        <w:t xml:space="preserve">За період з 2002 по 2020 роки </w:t>
      </w:r>
      <w:r>
        <w:t xml:space="preserve"> її </w:t>
      </w:r>
      <w:r w:rsidRPr="00310075">
        <w:t>частка в Україні складала не менше 37</w:t>
      </w:r>
      <w:r>
        <w:t> </w:t>
      </w:r>
      <w:r w:rsidRPr="00310075">
        <w:t xml:space="preserve">% від загального обсягу міграційних процесів. У 2012 році був помітний </w:t>
      </w:r>
      <w:r w:rsidR="002B26F1">
        <w:t>«</w:t>
      </w:r>
      <w:r w:rsidRPr="00310075">
        <w:t>піковий</w:t>
      </w:r>
      <w:r w:rsidR="002B26F1">
        <w:t xml:space="preserve">» </w:t>
      </w:r>
      <w:r w:rsidRPr="00310075">
        <w:t>період такої міграції, коли кількість переселенців із сіл</w:t>
      </w:r>
      <w:r w:rsidR="002B26F1">
        <w:t>ьської місцевості</w:t>
      </w:r>
      <w:r w:rsidRPr="00310075">
        <w:t xml:space="preserve"> до міс</w:t>
      </w:r>
      <w:r w:rsidR="002B26F1">
        <w:t>ької</w:t>
      </w:r>
      <w:r w:rsidRPr="00310075">
        <w:t xml:space="preserve"> становила близько 309 тисяч осіб.</w:t>
      </w:r>
    </w:p>
    <w:p w14:paraId="274A86D8" w14:textId="07F33151" w:rsidR="00257AA5" w:rsidRDefault="00257AA5" w:rsidP="00257AA5">
      <w:pPr>
        <w:spacing w:line="360" w:lineRule="auto"/>
        <w:ind w:firstLine="567"/>
        <w:contextualSpacing/>
        <w:jc w:val="both"/>
      </w:pPr>
      <w:r>
        <w:t xml:space="preserve">Стаціонарна міграція до міста була найменшою у 2016 р., що зумовлено поглибленням соціально-економічної кризи в Україні, а також у 2020 р. – поширенням пандемії Covid-19. </w:t>
      </w:r>
      <w:proofErr w:type="spellStart"/>
      <w:r>
        <w:t>Примітно</w:t>
      </w:r>
      <w:proofErr w:type="spellEnd"/>
      <w:r>
        <w:t xml:space="preserve">, що у 2020-2021 рр. в умовах </w:t>
      </w:r>
      <w:r>
        <w:lastRenderedPageBreak/>
        <w:t xml:space="preserve">карантинних обмежень сформувалися тимчасові міграційні коридори </w:t>
      </w:r>
      <w:r w:rsidR="00654C1E">
        <w:t>«</w:t>
      </w:r>
      <w:r>
        <w:t>міська місцевість-сільська місцевість</w:t>
      </w:r>
      <w:r w:rsidR="00654C1E">
        <w:t xml:space="preserve">» </w:t>
      </w:r>
      <w:r w:rsidR="00654C1E" w:rsidRPr="00654C1E">
        <w:t>[</w:t>
      </w:r>
      <w:r w:rsidR="009D37AD">
        <w:t>3</w:t>
      </w:r>
      <w:r w:rsidR="00654C1E" w:rsidRPr="00654C1E">
        <w:t>]</w:t>
      </w:r>
      <w:r>
        <w:t>.</w:t>
      </w:r>
    </w:p>
    <w:p w14:paraId="2A7428A9" w14:textId="6B145B87" w:rsidR="00916279" w:rsidRDefault="00827BC4" w:rsidP="006B4552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57DAB00C" wp14:editId="5F385588">
            <wp:extent cx="6103620" cy="32004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20DB97" w14:textId="77777777" w:rsidR="00E14803" w:rsidRDefault="00827BC4" w:rsidP="00E14803">
      <w:pPr>
        <w:spacing w:line="360" w:lineRule="auto"/>
        <w:contextualSpacing/>
        <w:jc w:val="center"/>
      </w:pPr>
      <w:r>
        <w:t xml:space="preserve">Рис. 1. </w:t>
      </w:r>
      <w:r w:rsidRPr="0075032C">
        <w:t xml:space="preserve">Масштаби міграційного потоку </w:t>
      </w:r>
      <w:r w:rsidR="0075032C">
        <w:t>«</w:t>
      </w:r>
      <w:r w:rsidRPr="0075032C">
        <w:t>сільська-міська місцевість</w:t>
      </w:r>
      <w:r w:rsidR="0075032C">
        <w:t>»</w:t>
      </w:r>
      <w:r w:rsidRPr="0075032C">
        <w:t xml:space="preserve"> </w:t>
      </w:r>
    </w:p>
    <w:p w14:paraId="106B5885" w14:textId="3842C232" w:rsidR="0075032C" w:rsidRDefault="00827BC4" w:rsidP="00E14803">
      <w:pPr>
        <w:spacing w:line="360" w:lineRule="auto"/>
        <w:contextualSpacing/>
        <w:jc w:val="center"/>
      </w:pPr>
      <w:r w:rsidRPr="0075032C">
        <w:t xml:space="preserve">в Україні, 2002-2020 рр. </w:t>
      </w:r>
      <w:r w:rsidR="0075032C" w:rsidRPr="0075032C">
        <w:t>[</w:t>
      </w:r>
      <w:r w:rsidR="009D37AD">
        <w:t>3</w:t>
      </w:r>
      <w:r w:rsidR="0075032C" w:rsidRPr="0075032C">
        <w:t>]</w:t>
      </w:r>
    </w:p>
    <w:p w14:paraId="4C3A53D6" w14:textId="4EEEBB6F" w:rsidR="00827BC4" w:rsidRDefault="00827BC4" w:rsidP="00C91504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E14803">
        <w:rPr>
          <w:i/>
          <w:sz w:val="24"/>
          <w:szCs w:val="24"/>
        </w:rPr>
        <w:t>Примітка:</w:t>
      </w:r>
      <w:r w:rsidRPr="0075032C">
        <w:rPr>
          <w:sz w:val="24"/>
          <w:szCs w:val="24"/>
        </w:rPr>
        <w:t xml:space="preserve"> 2014-2020 рр. − без урахування тимчасово окупованої території АР Крим і частини тимчасово окупованих територій у Донецькій та Луганській областях.</w:t>
      </w:r>
    </w:p>
    <w:p w14:paraId="37996B3D" w14:textId="0564CE1D" w:rsidR="007B518A" w:rsidRDefault="007B518A" w:rsidP="00C91504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p w14:paraId="69B73CA2" w14:textId="6930C549" w:rsidR="00484EFA" w:rsidRDefault="009604DC" w:rsidP="00606A44">
      <w:pPr>
        <w:spacing w:line="360" w:lineRule="auto"/>
        <w:ind w:firstLine="567"/>
        <w:contextualSpacing/>
        <w:jc w:val="both"/>
      </w:pPr>
      <w:r>
        <w:t xml:space="preserve">Зростання кількості міського населення, відтік жителів сільських районів у міста </w:t>
      </w:r>
      <w:r w:rsidR="001B2BD0">
        <w:t>призводить</w:t>
      </w:r>
      <w:r>
        <w:t xml:space="preserve"> </w:t>
      </w:r>
      <w:r w:rsidR="001B2BD0">
        <w:t>до</w:t>
      </w:r>
      <w:r>
        <w:t xml:space="preserve"> розширення площі міських поселень, </w:t>
      </w:r>
      <w:r w:rsidR="001B2BD0">
        <w:t xml:space="preserve">низки </w:t>
      </w:r>
      <w:r>
        <w:t xml:space="preserve">економічних, соціальних та екологічних проблем. </w:t>
      </w:r>
      <w:r w:rsidR="00CC4DD8">
        <w:t>Збільшення міграції селян</w:t>
      </w:r>
      <w:r w:rsidR="0006723E" w:rsidRPr="0006723E">
        <w:t xml:space="preserve"> до міських територій спри</w:t>
      </w:r>
      <w:r w:rsidR="00CC4DD8">
        <w:t>чин</w:t>
      </w:r>
      <w:r w:rsidR="0006723E" w:rsidRPr="0006723E">
        <w:t>яє депопуляці</w:t>
      </w:r>
      <w:r w:rsidR="00BB33EE">
        <w:t>ю</w:t>
      </w:r>
      <w:r w:rsidR="0006723E" w:rsidRPr="0006723E">
        <w:t xml:space="preserve"> </w:t>
      </w:r>
      <w:r w:rsidR="00CC4DD8">
        <w:t>українських сіл</w:t>
      </w:r>
      <w:r w:rsidR="00BB33EE">
        <w:t xml:space="preserve">, </w:t>
      </w:r>
      <w:r w:rsidR="009E1B33">
        <w:t xml:space="preserve">скорочення кількості поселень та </w:t>
      </w:r>
      <w:r w:rsidR="0006723E" w:rsidRPr="0006723E">
        <w:t>їхньому вимиранню</w:t>
      </w:r>
      <w:r w:rsidR="00CC4DD8">
        <w:t xml:space="preserve"> як такому</w:t>
      </w:r>
      <w:r w:rsidR="00455D0E" w:rsidRPr="00455D0E">
        <w:t xml:space="preserve"> </w:t>
      </w:r>
      <w:r w:rsidR="00455D0E" w:rsidRPr="00232BA2">
        <w:t>[</w:t>
      </w:r>
      <w:r w:rsidR="00455D0E" w:rsidRPr="00455D0E">
        <w:t>1</w:t>
      </w:r>
      <w:r w:rsidR="00455D0E" w:rsidRPr="00232BA2">
        <w:t>]</w:t>
      </w:r>
      <w:r w:rsidR="0006723E" w:rsidRPr="0006723E">
        <w:t xml:space="preserve">. Це також призводить до перевантаження соціальної інфраструктури у великих містах, що тягне за собою посилене фінансове навантаження на місцеві бюджети. Міграція молоді з сільських районів є </w:t>
      </w:r>
      <w:r w:rsidR="002C783C">
        <w:t>причиною</w:t>
      </w:r>
      <w:r w:rsidR="0006723E" w:rsidRPr="0006723E">
        <w:t xml:space="preserve"> зниження рівня народжуваності у </w:t>
      </w:r>
      <w:r w:rsidR="002C783C">
        <w:t>селах</w:t>
      </w:r>
      <w:r w:rsidR="0006723E" w:rsidRPr="0006723E">
        <w:t xml:space="preserve">, </w:t>
      </w:r>
      <w:r w:rsidR="0059206E">
        <w:t>девальвації шкільної освіти та відсутн</w:t>
      </w:r>
      <w:r w:rsidR="00C96FB2">
        <w:t>о</w:t>
      </w:r>
      <w:r w:rsidR="0059206E">
        <w:t xml:space="preserve">сті </w:t>
      </w:r>
      <w:r w:rsidR="00844FE9">
        <w:t xml:space="preserve">сучасних </w:t>
      </w:r>
      <w:r w:rsidR="00F275F6">
        <w:t>спеціалістів</w:t>
      </w:r>
      <w:r w:rsidR="0059206E">
        <w:t xml:space="preserve"> для розвитку </w:t>
      </w:r>
      <w:r w:rsidR="00844FE9">
        <w:t>сільської економіки</w:t>
      </w:r>
      <w:r w:rsidR="0059206E">
        <w:t>.</w:t>
      </w:r>
    </w:p>
    <w:p w14:paraId="31383ABB" w14:textId="1E933950" w:rsidR="00916279" w:rsidRDefault="00606A44" w:rsidP="00900359">
      <w:pPr>
        <w:spacing w:line="360" w:lineRule="auto"/>
        <w:ind w:firstLine="567"/>
        <w:jc w:val="both"/>
      </w:pPr>
      <w:r>
        <w:t>З</w:t>
      </w:r>
      <w:r w:rsidR="00FE1FF1">
        <w:t xml:space="preserve">ростаючі темпи урбанізації спричиняють посилення </w:t>
      </w:r>
      <w:proofErr w:type="spellStart"/>
      <w:r w:rsidR="00FE1FF1">
        <w:t>депресивності</w:t>
      </w:r>
      <w:proofErr w:type="spellEnd"/>
      <w:r w:rsidR="00FE1FF1">
        <w:t xml:space="preserve"> сільських поселень і обумовлюють необхідність розробки ефективних механізмів розвитку сільських територій.</w:t>
      </w:r>
      <w:r>
        <w:t xml:space="preserve"> </w:t>
      </w:r>
      <w:r w:rsidR="00900359" w:rsidRPr="00900359">
        <w:t xml:space="preserve">Для відродження </w:t>
      </w:r>
      <w:r w:rsidR="009D1A8D">
        <w:t>українського села</w:t>
      </w:r>
      <w:r w:rsidR="00900359" w:rsidRPr="00900359">
        <w:t xml:space="preserve"> </w:t>
      </w:r>
      <w:r w:rsidR="00900359" w:rsidRPr="00900359">
        <w:lastRenderedPageBreak/>
        <w:t xml:space="preserve">необхідні значні </w:t>
      </w:r>
      <w:r w:rsidR="009D1A8D">
        <w:t>капіталовкладення</w:t>
      </w:r>
      <w:r w:rsidR="00900359" w:rsidRPr="00900359">
        <w:t xml:space="preserve">, а також адаптоване до сучасних умов законодавство, оподаткування і </w:t>
      </w:r>
      <w:r w:rsidR="009D1A8D">
        <w:t>сприятливі</w:t>
      </w:r>
      <w:r w:rsidR="00900359" w:rsidRPr="00900359">
        <w:t xml:space="preserve"> умови </w:t>
      </w:r>
      <w:r w:rsidR="009D1A8D">
        <w:t>інвестування</w:t>
      </w:r>
      <w:r w:rsidR="00900359" w:rsidRPr="00900359">
        <w:t>. Проте</w:t>
      </w:r>
      <w:r w:rsidR="009D1A8D">
        <w:t>,</w:t>
      </w:r>
      <w:r w:rsidR="00900359" w:rsidRPr="00900359">
        <w:t xml:space="preserve"> </w:t>
      </w:r>
      <w:r w:rsidR="009D1A8D">
        <w:t>зважаючи на ситуацію в Україні,</w:t>
      </w:r>
      <w:r w:rsidR="00900359" w:rsidRPr="00900359">
        <w:t xml:space="preserve"> </w:t>
      </w:r>
      <w:r w:rsidR="009D1A8D">
        <w:t>реалізація всіх вимог є неможливою</w:t>
      </w:r>
      <w:r w:rsidR="00900359" w:rsidRPr="00900359">
        <w:t xml:space="preserve">, тому потрібно </w:t>
      </w:r>
      <w:r w:rsidR="009D1A8D">
        <w:t>звернути увагу на альтернативні варіанти</w:t>
      </w:r>
      <w:r w:rsidR="00900359" w:rsidRPr="00900359">
        <w:t xml:space="preserve">. </w:t>
      </w:r>
      <w:r w:rsidR="009D1A8D">
        <w:t>О</w:t>
      </w:r>
      <w:r w:rsidR="00900359" w:rsidRPr="00900359">
        <w:t xml:space="preserve">дним із таких </w:t>
      </w:r>
      <w:r w:rsidR="009D1A8D">
        <w:t>варіантів</w:t>
      </w:r>
      <w:r w:rsidR="00900359" w:rsidRPr="00900359">
        <w:t xml:space="preserve"> </w:t>
      </w:r>
      <w:r w:rsidR="00D63DE0">
        <w:t xml:space="preserve">є </w:t>
      </w:r>
      <w:r w:rsidR="00900359" w:rsidRPr="00900359">
        <w:t>сільський</w:t>
      </w:r>
      <w:r w:rsidR="009D1A8D">
        <w:t xml:space="preserve"> </w:t>
      </w:r>
      <w:r w:rsidR="00900359" w:rsidRPr="00900359">
        <w:t xml:space="preserve">туризм, який </w:t>
      </w:r>
      <w:r w:rsidR="00CE56BF">
        <w:t>набув значної популярності</w:t>
      </w:r>
      <w:r w:rsidR="00900359" w:rsidRPr="00900359">
        <w:t xml:space="preserve"> в Європі та світі</w:t>
      </w:r>
      <w:r w:rsidR="00D63DE0">
        <w:t xml:space="preserve"> та </w:t>
      </w:r>
      <w:r w:rsidR="00900359" w:rsidRPr="00900359">
        <w:t>є потужним джерелом доходів та зайнятості для місцевого населення.</w:t>
      </w:r>
    </w:p>
    <w:p w14:paraId="110A719B" w14:textId="6A17744A" w:rsidR="00D63DE0" w:rsidRDefault="00E05F77" w:rsidP="00900359">
      <w:pPr>
        <w:spacing w:line="360" w:lineRule="auto"/>
        <w:ind w:firstLine="567"/>
        <w:jc w:val="both"/>
      </w:pPr>
      <w:r>
        <w:t>Сільський</w:t>
      </w:r>
      <w:r w:rsidR="003353DC">
        <w:t xml:space="preserve"> туризм сприяє зниженню рівня безробіття у селі, надаючи додатковий заробіток селянам, а особливо жінкам. Також це альтернатива веденню сільського господарства за розмірами отримання прибутку від </w:t>
      </w:r>
      <w:proofErr w:type="spellStart"/>
      <w:r w:rsidR="003353DC">
        <w:t>самозайнятості</w:t>
      </w:r>
      <w:proofErr w:type="spellEnd"/>
      <w:r w:rsidR="003353DC">
        <w:t xml:space="preserve"> у сфері туризму. Дохід може надходити не лише від здачі в оренду садиби, а й від реалізації вирощених сільськогосподарських продуктів, виготовлених власноруч сувенірів, побутового обслуговування туристів (прання, прасування), прокату спортивного спорядження тощо.</w:t>
      </w:r>
    </w:p>
    <w:p w14:paraId="208F636A" w14:textId="31755701" w:rsidR="00AA2529" w:rsidRDefault="00BD3573" w:rsidP="00900359">
      <w:pPr>
        <w:spacing w:line="360" w:lineRule="auto"/>
        <w:ind w:firstLine="567"/>
        <w:jc w:val="both"/>
      </w:pPr>
      <w:r>
        <w:t>Таким чином</w:t>
      </w:r>
      <w:r w:rsidR="008E4F6E">
        <w:t xml:space="preserve"> розвиток сільського туризму – це перш за все регіональна соціально-економічна програма</w:t>
      </w:r>
      <w:r w:rsidR="00A94BDA">
        <w:t>,</w:t>
      </w:r>
      <w:r w:rsidR="008E4F6E">
        <w:t xml:space="preserve"> що передбачає</w:t>
      </w:r>
      <w:r w:rsidR="00A94BDA">
        <w:t xml:space="preserve"> </w:t>
      </w:r>
      <w:r w:rsidR="008E4F6E">
        <w:t>економічні</w:t>
      </w:r>
      <w:r w:rsidR="00A94BDA">
        <w:t xml:space="preserve"> та </w:t>
      </w:r>
      <w:r w:rsidR="008E4F6E">
        <w:t>соціально-культурні цілі забезпечення розвитку села. Саме з розвитком сільського туризму пов’язані такі можливості розвитку як диверсифікація економічної діяльності на селі, забезпечення додаткового попиту на локальн</w:t>
      </w:r>
      <w:r w:rsidR="00A94BDA">
        <w:t>і</w:t>
      </w:r>
      <w:r w:rsidR="008E4F6E">
        <w:t xml:space="preserve"> продукти, </w:t>
      </w:r>
      <w:r w:rsidR="00A94BDA">
        <w:t>генерація</w:t>
      </w:r>
      <w:r w:rsidR="008E4F6E">
        <w:t xml:space="preserve"> нових робочих місць, </w:t>
      </w:r>
      <w:r w:rsidR="0065108C">
        <w:t>додаткове джерело доходів</w:t>
      </w:r>
      <w:r w:rsidR="008E4F6E">
        <w:t xml:space="preserve"> для членів сільських громад з використанням власних можливостей та ресурсів селянського господарства, вирішення демографічної проблеми: молодь залишається на селі завдяки наявності цікавої та перспективної роботи, відродження та збереження традиційної культури, мистецтв та </w:t>
      </w:r>
      <w:proofErr w:type="spellStart"/>
      <w:r w:rsidR="008E4F6E">
        <w:t>ремесел</w:t>
      </w:r>
      <w:proofErr w:type="spellEnd"/>
      <w:r w:rsidR="008E4F6E">
        <w:t xml:space="preserve">, збереження </w:t>
      </w:r>
      <w:r w:rsidR="0065108C">
        <w:t>екології</w:t>
      </w:r>
      <w:r w:rsidR="008E4F6E">
        <w:t xml:space="preserve"> та привабливості довкілля через зниження техногенного виробничого впливу на природні ресурси, подолання просторової та соціальної ізоляції сільського населення, розбудова соціальних мереж та соціального капіталу на селі [</w:t>
      </w:r>
      <w:r w:rsidR="009D37AD">
        <w:t>4</w:t>
      </w:r>
      <w:r w:rsidR="008E4F6E">
        <w:t>].</w:t>
      </w:r>
    </w:p>
    <w:p w14:paraId="4D16AE15" w14:textId="626B8F62" w:rsidR="00CE56BF" w:rsidRPr="00900359" w:rsidRDefault="00E05F77" w:rsidP="005512E0">
      <w:pPr>
        <w:spacing w:line="360" w:lineRule="auto"/>
        <w:ind w:firstLine="567"/>
        <w:jc w:val="both"/>
      </w:pPr>
      <w:r>
        <w:t xml:space="preserve">Отже, сільський туризм розширює сферу зайнятості сільського населення, особливо жінок, відповідно знижуючи гендерну нерівність на сільських територіях; розширює можливості зайнятості селян не тільки у виробничій сфері, але й у сфері обслуговування. Разом з цим підвищується якість людського </w:t>
      </w:r>
      <w:r>
        <w:lastRenderedPageBreak/>
        <w:t>капіталу, оскільки в процесі ведення підприємницької діяльності у сфері сільського туризму, розширюється світогляд сільських мешканців, з’являються додаткові знайомства, набувається безцінний досвід і нові навички. Сільський туризм виступає каталізатором пожвавлення економіки сільських територій, забезпечуючи місцевим мешканцям додатковий дохід, саморозвиток, покращення якості життя загалом.</w:t>
      </w:r>
    </w:p>
    <w:p w14:paraId="7BE12809" w14:textId="77777777" w:rsidR="00E14803" w:rsidRPr="00E14803" w:rsidRDefault="00E14803" w:rsidP="00E14803">
      <w:pPr>
        <w:shd w:val="clear" w:color="auto" w:fill="FFFFFF"/>
        <w:spacing w:line="360" w:lineRule="auto"/>
        <w:jc w:val="center"/>
      </w:pPr>
    </w:p>
    <w:p w14:paraId="623D76E9" w14:textId="0C7B93C8" w:rsidR="00916279" w:rsidRPr="00916279" w:rsidRDefault="00916279" w:rsidP="00E14803">
      <w:pPr>
        <w:shd w:val="clear" w:color="auto" w:fill="FFFFFF"/>
        <w:spacing w:line="360" w:lineRule="auto"/>
        <w:jc w:val="center"/>
        <w:rPr>
          <w:b/>
        </w:rPr>
      </w:pPr>
      <w:r w:rsidRPr="00916279">
        <w:rPr>
          <w:b/>
        </w:rPr>
        <w:t>Список використаних джерел</w:t>
      </w:r>
    </w:p>
    <w:p w14:paraId="44F329C1" w14:textId="5870E9AE" w:rsidR="009D37AD" w:rsidRPr="007B518A" w:rsidRDefault="009D37AD" w:rsidP="00E14803">
      <w:pPr>
        <w:pStyle w:val="a4"/>
        <w:numPr>
          <w:ilvl w:val="0"/>
          <w:numId w:val="1"/>
        </w:numPr>
        <w:spacing w:line="360" w:lineRule="auto"/>
        <w:ind w:left="0" w:firstLine="567"/>
        <w:jc w:val="both"/>
      </w:pPr>
      <w:proofErr w:type="spellStart"/>
      <w:r w:rsidRPr="000C6FB1">
        <w:t>Дудзяк</w:t>
      </w:r>
      <w:proofErr w:type="spellEnd"/>
      <w:r w:rsidRPr="000C6FB1">
        <w:t xml:space="preserve"> О. А. Сільський туризм як елемент диверсифікації сільського господарства та розвитку сільських територій. </w:t>
      </w:r>
      <w:r w:rsidRPr="006D59CE">
        <w:rPr>
          <w:i/>
        </w:rPr>
        <w:t>Ефективна економіка</w:t>
      </w:r>
      <w:r w:rsidRPr="000C6FB1">
        <w:t>. 2017. №</w:t>
      </w:r>
      <w:r>
        <w:t> </w:t>
      </w:r>
      <w:r w:rsidRPr="000C6FB1">
        <w:t xml:space="preserve">10. URL: </w:t>
      </w:r>
      <w:hyperlink r:id="rId7" w:history="1">
        <w:r w:rsidRPr="009D37AD">
          <w:rPr>
            <w:rStyle w:val="a5"/>
            <w:color w:val="auto"/>
            <w:u w:val="none"/>
          </w:rPr>
          <w:t>http://www.economy.nayka.com.ua/?op=1&amp;z=5801</w:t>
        </w:r>
      </w:hyperlink>
    </w:p>
    <w:p w14:paraId="3F95B3CB" w14:textId="0DB973B6" w:rsidR="009D37AD" w:rsidRDefault="009D37AD" w:rsidP="00E14803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Style w:val="a5"/>
          <w:color w:val="auto"/>
          <w:u w:val="none"/>
        </w:rPr>
      </w:pPr>
      <w:proofErr w:type="spellStart"/>
      <w:r w:rsidRPr="00D67CDF">
        <w:t>Засадко</w:t>
      </w:r>
      <w:proofErr w:type="spellEnd"/>
      <w:r w:rsidRPr="00D67CDF">
        <w:t xml:space="preserve"> В. В. Механізми розвитку сільських територій в умовах урбанізації та міграції з села у місто. Соціально-економічні проблеми сучасного періоду України. 2013. </w:t>
      </w:r>
      <w:proofErr w:type="spellStart"/>
      <w:r w:rsidRPr="00D67CDF">
        <w:t>Вип</w:t>
      </w:r>
      <w:proofErr w:type="spellEnd"/>
      <w:r w:rsidRPr="00D67CDF">
        <w:t>. 6. С. 266-271. URL:</w:t>
      </w:r>
      <w:r w:rsidRPr="00C35643">
        <w:t> </w:t>
      </w:r>
      <w:hyperlink r:id="rId8" w:history="1">
        <w:r w:rsidRPr="00C35643">
          <w:rPr>
            <w:rStyle w:val="a5"/>
            <w:color w:val="auto"/>
            <w:u w:val="none"/>
          </w:rPr>
          <w:t>http://jnas.nbuv.gov.ua/article/UJRN-0000488930</w:t>
        </w:r>
      </w:hyperlink>
      <w:r>
        <w:rPr>
          <w:rStyle w:val="a5"/>
          <w:color w:val="auto"/>
          <w:u w:val="none"/>
        </w:rPr>
        <w:t xml:space="preserve"> </w:t>
      </w:r>
    </w:p>
    <w:p w14:paraId="6D1F550D" w14:textId="5A935027" w:rsidR="009D37AD" w:rsidRDefault="009D37AD" w:rsidP="00E14803">
      <w:pPr>
        <w:pStyle w:val="a4"/>
        <w:numPr>
          <w:ilvl w:val="0"/>
          <w:numId w:val="1"/>
        </w:numPr>
        <w:spacing w:line="360" w:lineRule="auto"/>
        <w:ind w:left="0" w:firstLine="567"/>
        <w:jc w:val="both"/>
      </w:pPr>
      <w:proofErr w:type="spellStart"/>
      <w:r>
        <w:t>Мульска</w:t>
      </w:r>
      <w:proofErr w:type="spellEnd"/>
      <w:r>
        <w:t xml:space="preserve"> О. П. Міграційні процеси &amp; економічне зростання: теорія каузальності та практика ефективного управління: монографія. Державна установа «Інститут регіональних досліджень імені М. І. Долішнього НАН України», Львів, 2022. 470 c.</w:t>
      </w:r>
    </w:p>
    <w:p w14:paraId="660EB98C" w14:textId="19B3470A" w:rsidR="009D37AD" w:rsidRPr="005072E2" w:rsidRDefault="009D37AD" w:rsidP="00E14803">
      <w:pPr>
        <w:pStyle w:val="a4"/>
        <w:numPr>
          <w:ilvl w:val="0"/>
          <w:numId w:val="1"/>
        </w:numPr>
        <w:spacing w:line="360" w:lineRule="auto"/>
        <w:ind w:left="0" w:firstLine="567"/>
        <w:jc w:val="both"/>
      </w:pPr>
      <w:r w:rsidRPr="005072E2">
        <w:t>Поліщук С. О. Проблеми та перспективи розвитку сільського зеленого туризму в Україні. Ефективна економіка. 2022. № 6. URL: </w:t>
      </w:r>
      <w:hyperlink r:id="rId9" w:history="1">
        <w:r w:rsidRPr="00EC10A9">
          <w:rPr>
            <w:rStyle w:val="a5"/>
            <w:color w:val="auto"/>
            <w:u w:val="none"/>
          </w:rPr>
          <w:t>https://www.nayka.com.ua/index.php/ee/article/view/119</w:t>
        </w:r>
      </w:hyperlink>
    </w:p>
    <w:sectPr w:rsidR="009D37AD" w:rsidRPr="005072E2" w:rsidSect="005246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4E89"/>
    <w:multiLevelType w:val="hybridMultilevel"/>
    <w:tmpl w:val="4E4E75FC"/>
    <w:lvl w:ilvl="0" w:tplc="7812D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F76158"/>
    <w:multiLevelType w:val="hybridMultilevel"/>
    <w:tmpl w:val="A8845E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D"/>
    <w:rsid w:val="000570D0"/>
    <w:rsid w:val="0006723E"/>
    <w:rsid w:val="001B2BD0"/>
    <w:rsid w:val="00232BA2"/>
    <w:rsid w:val="00257AA5"/>
    <w:rsid w:val="002A6014"/>
    <w:rsid w:val="002B26F1"/>
    <w:rsid w:val="002C2422"/>
    <w:rsid w:val="002C783C"/>
    <w:rsid w:val="00310075"/>
    <w:rsid w:val="00320E42"/>
    <w:rsid w:val="003353DC"/>
    <w:rsid w:val="00356F7A"/>
    <w:rsid w:val="003A739E"/>
    <w:rsid w:val="004111C9"/>
    <w:rsid w:val="004409DC"/>
    <w:rsid w:val="00455D0E"/>
    <w:rsid w:val="00484EFA"/>
    <w:rsid w:val="00497A2E"/>
    <w:rsid w:val="004A0AA8"/>
    <w:rsid w:val="004F482D"/>
    <w:rsid w:val="005072E2"/>
    <w:rsid w:val="0052466E"/>
    <w:rsid w:val="005512E0"/>
    <w:rsid w:val="0059206E"/>
    <w:rsid w:val="005A53ED"/>
    <w:rsid w:val="00606A44"/>
    <w:rsid w:val="00633501"/>
    <w:rsid w:val="0065108C"/>
    <w:rsid w:val="00654C1E"/>
    <w:rsid w:val="006A4A1D"/>
    <w:rsid w:val="006B4552"/>
    <w:rsid w:val="00721867"/>
    <w:rsid w:val="007435BB"/>
    <w:rsid w:val="0075032C"/>
    <w:rsid w:val="00777010"/>
    <w:rsid w:val="007B518A"/>
    <w:rsid w:val="00827BC4"/>
    <w:rsid w:val="008422EB"/>
    <w:rsid w:val="00844FE9"/>
    <w:rsid w:val="008931D1"/>
    <w:rsid w:val="008A0FEE"/>
    <w:rsid w:val="008E4F6E"/>
    <w:rsid w:val="00900359"/>
    <w:rsid w:val="0091307D"/>
    <w:rsid w:val="00916279"/>
    <w:rsid w:val="009604DC"/>
    <w:rsid w:val="0099470C"/>
    <w:rsid w:val="0099786D"/>
    <w:rsid w:val="009A7241"/>
    <w:rsid w:val="009D1A8D"/>
    <w:rsid w:val="009D37AD"/>
    <w:rsid w:val="009E1B33"/>
    <w:rsid w:val="00A2681B"/>
    <w:rsid w:val="00A74557"/>
    <w:rsid w:val="00A94BDA"/>
    <w:rsid w:val="00AA2529"/>
    <w:rsid w:val="00B253C4"/>
    <w:rsid w:val="00B6147D"/>
    <w:rsid w:val="00BB33EE"/>
    <w:rsid w:val="00BD3508"/>
    <w:rsid w:val="00BD3573"/>
    <w:rsid w:val="00C35643"/>
    <w:rsid w:val="00C358AD"/>
    <w:rsid w:val="00C91504"/>
    <w:rsid w:val="00C96FB2"/>
    <w:rsid w:val="00CC4DD8"/>
    <w:rsid w:val="00CE50BC"/>
    <w:rsid w:val="00CE56BF"/>
    <w:rsid w:val="00CF32AA"/>
    <w:rsid w:val="00D52DE2"/>
    <w:rsid w:val="00D63DE0"/>
    <w:rsid w:val="00D67CDF"/>
    <w:rsid w:val="00DC2539"/>
    <w:rsid w:val="00DF37E3"/>
    <w:rsid w:val="00E05F77"/>
    <w:rsid w:val="00E14803"/>
    <w:rsid w:val="00EC10A9"/>
    <w:rsid w:val="00EE5683"/>
    <w:rsid w:val="00F275F6"/>
    <w:rsid w:val="00F95CAB"/>
    <w:rsid w:val="00FC147F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38A"/>
  <w15:chartTrackingRefBased/>
  <w15:docId w15:val="{561A7348-B6CB-4D07-90B4-418F44DA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79"/>
    <w:pPr>
      <w:spacing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2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51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724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6F7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56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nas.nbuv.gov.ua/article/UJRN-000048893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nomy.nayka.com.ua/?op=1&amp;z=5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yka.com.ua/index.php/ee/article/view/11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Обсяг міграційного потоку "Сільська місцевість-міська місцевість"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200.256</c:v>
                </c:pt>
                <c:pt idx="1">
                  <c:v>226.03</c:v>
                </c:pt>
                <c:pt idx="2">
                  <c:v>269.87900000000002</c:v>
                </c:pt>
                <c:pt idx="3">
                  <c:v>263.39600000000002</c:v>
                </c:pt>
                <c:pt idx="4">
                  <c:v>265.774</c:v>
                </c:pt>
                <c:pt idx="5">
                  <c:v>267.959</c:v>
                </c:pt>
                <c:pt idx="6">
                  <c:v>258.2</c:v>
                </c:pt>
                <c:pt idx="7">
                  <c:v>231.87</c:v>
                </c:pt>
                <c:pt idx="8">
                  <c:v>255.459</c:v>
                </c:pt>
                <c:pt idx="9">
                  <c:v>249.24100000000001</c:v>
                </c:pt>
                <c:pt idx="10">
                  <c:v>309.01900000000001</c:v>
                </c:pt>
                <c:pt idx="11">
                  <c:v>276.24799999999999</c:v>
                </c:pt>
                <c:pt idx="12">
                  <c:v>213.59200000000001</c:v>
                </c:pt>
                <c:pt idx="13">
                  <c:v>178.11</c:v>
                </c:pt>
                <c:pt idx="14">
                  <c:v>80.867000000000004</c:v>
                </c:pt>
                <c:pt idx="15">
                  <c:v>158.91300000000001</c:v>
                </c:pt>
                <c:pt idx="16">
                  <c:v>197.57</c:v>
                </c:pt>
                <c:pt idx="17">
                  <c:v>196.078</c:v>
                </c:pt>
                <c:pt idx="18">
                  <c:v>148.61799999999999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D-4E43-A9B3-99FE10BC20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2"/>
        <c:axId val="431497967"/>
        <c:axId val="431500047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Частка міграції "село-місто" у загальному обсязі міграційного потоку, %</c:v>
                </c:pt>
              </c:strCache>
            </c:strRef>
          </c:tx>
          <c:spPr>
            <a:ln w="28575" cap="rnd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3">
                    <a:shade val="76000"/>
                  </a:schemeClr>
                </a:solidFill>
              </a:ln>
              <a:effectLst/>
            </c:spPr>
          </c:marker>
          <c:dLbls>
            <c:spPr>
              <a:noFill/>
              <a:ln w="6350">
                <a:noFill/>
              </a:ln>
              <a:effectLst/>
            </c:spPr>
            <c:txPr>
              <a:bodyPr rot="-5400000" spcFirstLastPara="1" vertOverflow="overflow" horzOverflow="overflow" vert="horz" wrap="square" lIns="0" tIns="0" rIns="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effectLst>
                      <a:outerShdw blurRad="50800" dir="5400000" sx="1000" sy="1000" algn="ctr" rotWithShape="0">
                        <a:srgbClr val="000000"/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 formatCode="0.00%">
                  <c:v>0.37740000000000001</c:v>
                </c:pt>
                <c:pt idx="2" formatCode="0.00%">
                  <c:v>0.46929999999999999</c:v>
                </c:pt>
                <c:pt idx="4" formatCode="0.00%">
                  <c:v>0.48509999999999998</c:v>
                </c:pt>
                <c:pt idx="6" formatCode="0.00%">
                  <c:v>0.50770000000000004</c:v>
                </c:pt>
                <c:pt idx="8" formatCode="0.00%">
                  <c:v>0.53290000000000004</c:v>
                </c:pt>
                <c:pt idx="10" formatCode="0.00%">
                  <c:v>0.5867</c:v>
                </c:pt>
                <c:pt idx="12" formatCode="0.00%">
                  <c:v>0.5514</c:v>
                </c:pt>
                <c:pt idx="14" formatCode="0.00%">
                  <c:v>0.49690000000000001</c:v>
                </c:pt>
                <c:pt idx="16" formatCode="0.00%">
                  <c:v>0.45850000000000002</c:v>
                </c:pt>
                <c:pt idx="18" formatCode="0.00%">
                  <c:v>0.48370000000000002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5D-4E43-A9B3-99FE10BC2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0004479"/>
        <c:axId val="750018623"/>
      </c:lineChart>
      <c:catAx>
        <c:axId val="431497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500047"/>
        <c:crosses val="autoZero"/>
        <c:auto val="1"/>
        <c:lblAlgn val="ctr"/>
        <c:lblOffset val="100"/>
        <c:noMultiLvlLbl val="0"/>
      </c:catAx>
      <c:valAx>
        <c:axId val="431500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тис. осіб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497967"/>
        <c:crosses val="autoZero"/>
        <c:crossBetween val="between"/>
      </c:valAx>
      <c:valAx>
        <c:axId val="750018623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004479"/>
        <c:crosses val="max"/>
        <c:crossBetween val="between"/>
      </c:valAx>
      <c:catAx>
        <c:axId val="75000447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00186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641A-37CC-45F9-B38F-D38AA2E7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Поліщук</dc:creator>
  <cp:keywords/>
  <dc:description/>
  <cp:lastModifiedBy>User</cp:lastModifiedBy>
  <cp:revision>108</cp:revision>
  <dcterms:created xsi:type="dcterms:W3CDTF">2024-04-07T14:35:00Z</dcterms:created>
  <dcterms:modified xsi:type="dcterms:W3CDTF">2024-04-10T20:12:00Z</dcterms:modified>
</cp:coreProperties>
</file>